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801B" w14:textId="77777777" w:rsidR="00D060F0" w:rsidRPr="00D86325" w:rsidRDefault="00D060F0" w:rsidP="00D060F0">
      <w:pPr>
        <w:pStyle w:val="Sinespaciado1"/>
        <w:jc w:val="center"/>
        <w:rPr>
          <w:rFonts w:ascii="Verdana" w:hAnsi="Verdana" w:cs="Arial"/>
          <w:b/>
          <w:color w:val="000000" w:themeColor="text1"/>
        </w:rPr>
      </w:pPr>
      <w:bookmarkStart w:id="0" w:name="_Hlk204798186"/>
      <w:r w:rsidRPr="00D86325">
        <w:rPr>
          <w:rFonts w:ascii="Verdana" w:hAnsi="Verdana" w:cs="Arial"/>
          <w:b/>
          <w:color w:val="000000" w:themeColor="text1"/>
        </w:rPr>
        <w:t xml:space="preserve">FICHA ANÁLISIS CONCILIACIÓN </w:t>
      </w:r>
      <w:r w:rsidRPr="00D86325">
        <w:rPr>
          <w:rFonts w:ascii="Verdana" w:hAnsi="Verdana" w:cs="Arial"/>
          <w:b/>
          <w:color w:val="000000" w:themeColor="text1"/>
          <w:highlight w:val="yellow"/>
        </w:rPr>
        <w:t>JUDICIAL (O PREJUDICIAL)</w:t>
      </w:r>
      <w:r w:rsidRPr="00D86325">
        <w:rPr>
          <w:rFonts w:ascii="Verdana" w:hAnsi="Verdana" w:cs="Arial"/>
          <w:b/>
          <w:color w:val="000000" w:themeColor="text1"/>
        </w:rPr>
        <w:t xml:space="preserve"> PARA PRESENTAR AL COMITÉ DE DEFENSA JUDICIAL Y CONCILIACIÓN DE LA DIRECCIÓN GENERAL</w:t>
      </w:r>
      <w:bookmarkEnd w:id="0"/>
    </w:p>
    <w:p w14:paraId="14EE86D7" w14:textId="77777777" w:rsidR="000D59A8" w:rsidRPr="00D86325" w:rsidRDefault="000D59A8" w:rsidP="00A35C22">
      <w:pPr>
        <w:pStyle w:val="Sinespaciado1"/>
        <w:jc w:val="center"/>
        <w:rPr>
          <w:rFonts w:ascii="Verdana" w:hAnsi="Verdana" w:cs="Arial"/>
          <w:b/>
          <w:color w:val="000000" w:themeColor="text1"/>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73"/>
      </w:tblGrid>
      <w:tr w:rsidR="00777295" w:rsidRPr="00D86325" w14:paraId="2743DE09" w14:textId="77777777" w:rsidTr="009245A6">
        <w:trPr>
          <w:trHeight w:val="1865"/>
        </w:trPr>
        <w:tc>
          <w:tcPr>
            <w:tcW w:w="9573" w:type="dxa"/>
            <w:tcBorders>
              <w:top w:val="single" w:sz="4" w:space="0" w:color="auto"/>
              <w:left w:val="single" w:sz="4" w:space="0" w:color="auto"/>
              <w:bottom w:val="single" w:sz="4" w:space="0" w:color="auto"/>
              <w:right w:val="single" w:sz="4" w:space="0" w:color="auto"/>
            </w:tcBorders>
            <w:hideMark/>
          </w:tcPr>
          <w:p w14:paraId="1DB797B6" w14:textId="02B9611C" w:rsidR="000D59A8" w:rsidRPr="00D86325" w:rsidRDefault="000D59A8" w:rsidP="00A35C22">
            <w:pPr>
              <w:spacing w:after="0" w:line="240" w:lineRule="auto"/>
              <w:jc w:val="both"/>
              <w:rPr>
                <w:rFonts w:ascii="Verdana" w:hAnsi="Verdana" w:cs="Arial"/>
                <w:color w:val="000000" w:themeColor="text1"/>
              </w:rPr>
            </w:pPr>
            <w:r w:rsidRPr="00D86325">
              <w:rPr>
                <w:rFonts w:ascii="Verdana" w:hAnsi="Verdana" w:cs="Arial"/>
                <w:b/>
                <w:color w:val="000000" w:themeColor="text1"/>
              </w:rPr>
              <w:t xml:space="preserve">TEMA: </w:t>
            </w:r>
            <w:r w:rsidRPr="00D86325">
              <w:rPr>
                <w:rFonts w:ascii="Verdana" w:hAnsi="Verdana" w:cs="Arial"/>
                <w:color w:val="000000" w:themeColor="text1"/>
              </w:rPr>
              <w:t xml:space="preserve">Conciliación judicial a agotarse en la audiencia de que trata el artículo </w:t>
            </w:r>
            <w:r w:rsidR="00E359FE" w:rsidRPr="00D86325">
              <w:rPr>
                <w:rFonts w:ascii="Verdana" w:hAnsi="Verdana" w:cs="Arial"/>
                <w:color w:val="000000" w:themeColor="text1"/>
              </w:rPr>
              <w:t>180</w:t>
            </w:r>
            <w:r w:rsidRPr="00D86325">
              <w:rPr>
                <w:rFonts w:ascii="Verdana" w:hAnsi="Verdana" w:cs="Arial"/>
                <w:color w:val="000000" w:themeColor="text1"/>
              </w:rPr>
              <w:t xml:space="preserve"> del </w:t>
            </w:r>
            <w:r w:rsidR="00E359FE" w:rsidRPr="00D86325">
              <w:rPr>
                <w:rFonts w:ascii="Verdana" w:hAnsi="Verdana" w:cs="Arial"/>
                <w:color w:val="000000" w:themeColor="text1"/>
              </w:rPr>
              <w:t>CPACA</w:t>
            </w:r>
            <w:r w:rsidRPr="00D86325">
              <w:rPr>
                <w:rFonts w:ascii="Verdana" w:hAnsi="Verdana" w:cs="Arial"/>
                <w:color w:val="000000" w:themeColor="text1"/>
              </w:rPr>
              <w:t xml:space="preserve"> esto en el marco del </w:t>
            </w:r>
            <w:r w:rsidR="00E359FE" w:rsidRPr="00D86325">
              <w:rPr>
                <w:rFonts w:ascii="Verdana" w:hAnsi="Verdana" w:cs="Arial"/>
                <w:b/>
                <w:bCs/>
                <w:color w:val="000000" w:themeColor="text1"/>
              </w:rPr>
              <w:t>MEDIO DE CONTROL DE NULIDAD Y RESTABLECIMIENTO DEL DERECHO</w:t>
            </w:r>
            <w:r w:rsidRPr="00D86325">
              <w:rPr>
                <w:rFonts w:ascii="Verdana" w:hAnsi="Verdana" w:cs="Arial"/>
                <w:b/>
                <w:bCs/>
                <w:color w:val="000000" w:themeColor="text1"/>
              </w:rPr>
              <w:t xml:space="preserve"> </w:t>
            </w:r>
            <w:r w:rsidRPr="00D86325">
              <w:rPr>
                <w:rFonts w:ascii="Verdana" w:hAnsi="Verdana" w:cs="Arial"/>
                <w:color w:val="000000" w:themeColor="text1"/>
              </w:rPr>
              <w:t xml:space="preserve">impetrado por la </w:t>
            </w:r>
            <w:r w:rsidR="00D86325" w:rsidRPr="00D86325">
              <w:rPr>
                <w:rFonts w:ascii="Verdana" w:hAnsi="Verdana" w:cs="Arial"/>
                <w:b/>
                <w:color w:val="000000" w:themeColor="text1"/>
                <w:highlight w:val="yellow"/>
              </w:rPr>
              <w:t>(Demandante)</w:t>
            </w:r>
            <w:r w:rsidR="00DC6181" w:rsidRPr="00D86325">
              <w:rPr>
                <w:rFonts w:ascii="Verdana" w:hAnsi="Verdana" w:cs="Arial"/>
                <w:color w:val="000000" w:themeColor="text1"/>
              </w:rPr>
              <w:t xml:space="preserve"> </w:t>
            </w:r>
            <w:r w:rsidRPr="00D86325">
              <w:rPr>
                <w:rFonts w:ascii="Verdana" w:hAnsi="Verdana" w:cs="Arial"/>
                <w:color w:val="000000" w:themeColor="text1"/>
              </w:rPr>
              <w:t>en contra</w:t>
            </w:r>
            <w:r w:rsidR="00E359FE" w:rsidRPr="00D86325">
              <w:rPr>
                <w:rFonts w:ascii="Verdana" w:hAnsi="Verdana" w:cs="Arial"/>
                <w:color w:val="000000" w:themeColor="text1"/>
              </w:rPr>
              <w:t xml:space="preserve"> del</w:t>
            </w:r>
            <w:r w:rsidRPr="00D86325">
              <w:rPr>
                <w:rFonts w:ascii="Verdana" w:hAnsi="Verdana" w:cs="Arial"/>
                <w:color w:val="000000" w:themeColor="text1"/>
              </w:rPr>
              <w:t xml:space="preserve"> </w:t>
            </w:r>
            <w:r w:rsidR="00E359FE" w:rsidRPr="00D86325">
              <w:rPr>
                <w:rFonts w:ascii="Verdana" w:hAnsi="Verdana" w:cs="Arial"/>
                <w:color w:val="000000" w:themeColor="text1"/>
              </w:rPr>
              <w:t>INSTITUTO COLOMBIANO DE BIENESTAR FAMILIAR – ICBF</w:t>
            </w:r>
            <w:r w:rsidR="001862B5" w:rsidRPr="00D86325">
              <w:rPr>
                <w:rFonts w:ascii="Verdana" w:hAnsi="Verdana" w:cs="Arial"/>
                <w:color w:val="000000" w:themeColor="text1"/>
              </w:rPr>
              <w:t xml:space="preserve"> </w:t>
            </w:r>
            <w:r w:rsidRPr="00D86325">
              <w:rPr>
                <w:rFonts w:ascii="Verdana" w:hAnsi="Verdana" w:cs="Arial"/>
                <w:color w:val="000000" w:themeColor="text1"/>
              </w:rPr>
              <w:t xml:space="preserve">por medio de la cual pretende la declaración de la existencia de una relación laboral con el ICBF en su calidad de </w:t>
            </w:r>
            <w:r w:rsidR="00D86325">
              <w:rPr>
                <w:rFonts w:ascii="Verdana" w:hAnsi="Verdana" w:cs="Arial"/>
                <w:color w:val="000000" w:themeColor="text1"/>
              </w:rPr>
              <w:t>(</w:t>
            </w:r>
            <w:r w:rsidR="005411CB" w:rsidRPr="00D86325">
              <w:rPr>
                <w:rFonts w:ascii="Verdana" w:hAnsi="Verdana" w:cs="Arial"/>
                <w:b/>
                <w:bCs/>
                <w:color w:val="000000" w:themeColor="text1"/>
                <w:highlight w:val="yellow"/>
              </w:rPr>
              <w:t>TRABAJADORA SOCIAL</w:t>
            </w:r>
            <w:r w:rsidR="00D86325">
              <w:rPr>
                <w:rFonts w:ascii="Verdana" w:hAnsi="Verdana" w:cs="Arial"/>
                <w:b/>
                <w:bCs/>
                <w:color w:val="000000" w:themeColor="text1"/>
              </w:rPr>
              <w:t>)</w:t>
            </w:r>
            <w:r w:rsidRPr="00D86325">
              <w:rPr>
                <w:rFonts w:ascii="Verdana" w:hAnsi="Verdana" w:cs="Arial"/>
                <w:color w:val="000000" w:themeColor="text1"/>
              </w:rPr>
              <w:t xml:space="preserve">, y a título de condena el pago prestaciones económicas e indemnizaciones durante el periodo comprendido </w:t>
            </w:r>
            <w:r w:rsidR="00B55424" w:rsidRPr="00D86325">
              <w:rPr>
                <w:rFonts w:ascii="Verdana" w:hAnsi="Verdana" w:cs="Arial"/>
                <w:color w:val="000000" w:themeColor="text1"/>
              </w:rPr>
              <w:t xml:space="preserve">entre el día </w:t>
            </w:r>
            <w:r w:rsidR="00A16C29" w:rsidRPr="00D86325">
              <w:rPr>
                <w:rFonts w:ascii="Verdana" w:hAnsi="Verdana" w:cs="Arial"/>
                <w:color w:val="000000" w:themeColor="text1"/>
                <w:highlight w:val="yellow"/>
              </w:rPr>
              <w:t xml:space="preserve">xxxxx </w:t>
            </w:r>
            <w:r w:rsidR="00A16C29" w:rsidRPr="00D86325">
              <w:rPr>
                <w:rFonts w:ascii="Verdana" w:hAnsi="Verdana" w:cs="Arial"/>
                <w:color w:val="000000" w:themeColor="text1"/>
              </w:rPr>
              <w:t xml:space="preserve">y el día </w:t>
            </w:r>
            <w:r w:rsidR="00A16C29" w:rsidRPr="00D86325">
              <w:rPr>
                <w:rFonts w:ascii="Verdana" w:hAnsi="Verdana" w:cs="Arial"/>
                <w:color w:val="000000" w:themeColor="text1"/>
                <w:highlight w:val="yellow"/>
              </w:rPr>
              <w:t>XXX</w:t>
            </w:r>
          </w:p>
        </w:tc>
      </w:tr>
    </w:tbl>
    <w:p w14:paraId="71A9CC98" w14:textId="77777777" w:rsidR="000D59A8" w:rsidRPr="00D86325" w:rsidRDefault="000D59A8" w:rsidP="00A35C22">
      <w:pPr>
        <w:spacing w:after="0" w:line="240" w:lineRule="auto"/>
        <w:jc w:val="both"/>
        <w:rPr>
          <w:rFonts w:ascii="Verdana" w:hAnsi="Verdana" w:cs="Arial"/>
          <w:b/>
          <w:color w:val="000000" w:themeColor="text1"/>
        </w:rPr>
      </w:pPr>
      <w:r w:rsidRPr="00D86325">
        <w:rPr>
          <w:rFonts w:ascii="Verdana" w:hAnsi="Verdana" w:cs="Arial"/>
          <w:b/>
          <w:color w:val="000000" w:themeColor="text1"/>
        </w:rPr>
        <w:tab/>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73"/>
      </w:tblGrid>
      <w:tr w:rsidR="00777295" w:rsidRPr="00D86325" w14:paraId="26E3A0F7" w14:textId="77777777" w:rsidTr="004753AD">
        <w:trPr>
          <w:trHeight w:val="854"/>
        </w:trPr>
        <w:tc>
          <w:tcPr>
            <w:tcW w:w="9573" w:type="dxa"/>
            <w:tcBorders>
              <w:top w:val="single" w:sz="4" w:space="0" w:color="auto"/>
              <w:left w:val="single" w:sz="4" w:space="0" w:color="auto"/>
              <w:bottom w:val="single" w:sz="4" w:space="0" w:color="auto"/>
              <w:right w:val="single" w:sz="4" w:space="0" w:color="auto"/>
            </w:tcBorders>
            <w:hideMark/>
          </w:tcPr>
          <w:p w14:paraId="1A1ACE72" w14:textId="77777777" w:rsidR="000D59A8" w:rsidRPr="00D86325" w:rsidRDefault="000D59A8" w:rsidP="00A35C22">
            <w:pPr>
              <w:numPr>
                <w:ilvl w:val="0"/>
                <w:numId w:val="1"/>
              </w:numPr>
              <w:spacing w:after="0" w:line="240" w:lineRule="auto"/>
              <w:jc w:val="center"/>
              <w:rPr>
                <w:rFonts w:ascii="Verdana" w:hAnsi="Verdana" w:cs="Arial"/>
                <w:color w:val="000000" w:themeColor="text1"/>
              </w:rPr>
            </w:pPr>
            <w:r w:rsidRPr="00D86325">
              <w:rPr>
                <w:rFonts w:ascii="Verdana" w:hAnsi="Verdana" w:cs="Arial"/>
                <w:b/>
                <w:color w:val="000000" w:themeColor="text1"/>
              </w:rPr>
              <w:t>DATOS GENERALES</w:t>
            </w:r>
            <w:r w:rsidRPr="00D86325">
              <w:rPr>
                <w:rFonts w:ascii="Verdana" w:hAnsi="Verdana" w:cs="Arial"/>
                <w:color w:val="000000" w:themeColor="text1"/>
              </w:rPr>
              <w:t>:</w:t>
            </w:r>
          </w:p>
          <w:p w14:paraId="1DEC267A" w14:textId="77777777" w:rsidR="00A16C29" w:rsidRPr="00D86325" w:rsidRDefault="00A16C29" w:rsidP="00A35C22">
            <w:pPr>
              <w:spacing w:after="0" w:line="240" w:lineRule="auto"/>
              <w:contextualSpacing/>
              <w:jc w:val="both"/>
              <w:rPr>
                <w:rFonts w:ascii="Verdana" w:hAnsi="Verdana" w:cs="Arial"/>
                <w:color w:val="000000" w:themeColor="text1"/>
              </w:rPr>
            </w:pPr>
            <w:r w:rsidRPr="00D86325">
              <w:rPr>
                <w:rFonts w:ascii="Verdana" w:hAnsi="Verdana" w:cs="Arial"/>
                <w:b/>
                <w:bCs/>
                <w:color w:val="000000" w:themeColor="text1"/>
              </w:rPr>
              <w:t>REGIONAL:</w:t>
            </w:r>
            <w:r w:rsidRPr="00D86325">
              <w:rPr>
                <w:rFonts w:ascii="Verdana" w:hAnsi="Verdana" w:cs="Arial"/>
                <w:color w:val="000000" w:themeColor="text1"/>
              </w:rPr>
              <w:t xml:space="preserve"> </w:t>
            </w:r>
            <w:r w:rsidRPr="00D86325">
              <w:rPr>
                <w:rFonts w:ascii="Verdana" w:eastAsia="Arial" w:hAnsi="Verdana" w:cs="Arial"/>
                <w:color w:val="000000" w:themeColor="text1"/>
                <w:highlight w:val="yellow"/>
              </w:rPr>
              <w:t xml:space="preserve">XXXX  </w:t>
            </w:r>
          </w:p>
          <w:p w14:paraId="078CC800" w14:textId="77777777" w:rsidR="00A16C29" w:rsidRPr="00D86325" w:rsidRDefault="00A16C29" w:rsidP="00A35C22">
            <w:pPr>
              <w:spacing w:after="0" w:line="240" w:lineRule="auto"/>
              <w:contextualSpacing/>
              <w:jc w:val="both"/>
              <w:rPr>
                <w:rFonts w:ascii="Verdana" w:hAnsi="Verdana" w:cs="Arial"/>
                <w:b/>
                <w:color w:val="000000" w:themeColor="text1"/>
              </w:rPr>
            </w:pPr>
            <w:r w:rsidRPr="00D86325">
              <w:rPr>
                <w:rFonts w:ascii="Verdana" w:hAnsi="Verdana" w:cs="Arial"/>
                <w:b/>
                <w:color w:val="000000" w:themeColor="text1"/>
              </w:rPr>
              <w:t xml:space="preserve">TIPO DE ACCIÓN: </w:t>
            </w:r>
            <w:r w:rsidRPr="00D86325">
              <w:rPr>
                <w:rFonts w:ascii="Verdana" w:hAnsi="Verdana" w:cs="Arial"/>
                <w:bCs/>
                <w:color w:val="000000" w:themeColor="text1"/>
              </w:rPr>
              <w:t xml:space="preserve">PROCESO ORDINARIO LABORAL DE PRIMERA INSTANCIA </w:t>
            </w:r>
            <w:r w:rsidRPr="00D86325">
              <w:rPr>
                <w:rFonts w:ascii="Verdana" w:hAnsi="Verdana" w:cs="Arial"/>
                <w:b/>
                <w:color w:val="000000" w:themeColor="text1"/>
              </w:rPr>
              <w:t xml:space="preserve">DEMANDANTE: </w:t>
            </w:r>
            <w:r w:rsidRPr="00D86325">
              <w:rPr>
                <w:rFonts w:ascii="Verdana" w:hAnsi="Verdana" w:cs="Arial"/>
                <w:color w:val="000000" w:themeColor="text1"/>
                <w:highlight w:val="yellow"/>
              </w:rPr>
              <w:t>XXXXX</w:t>
            </w:r>
          </w:p>
          <w:p w14:paraId="3EE16BE3" w14:textId="77777777" w:rsidR="00A16C29" w:rsidRPr="00D86325" w:rsidRDefault="00A16C29" w:rsidP="00A35C22">
            <w:pPr>
              <w:spacing w:after="0" w:line="240" w:lineRule="auto"/>
              <w:contextualSpacing/>
              <w:jc w:val="both"/>
              <w:rPr>
                <w:rFonts w:ascii="Verdana" w:hAnsi="Verdana" w:cs="Arial"/>
                <w:bCs/>
                <w:color w:val="000000" w:themeColor="text1"/>
              </w:rPr>
            </w:pPr>
            <w:r w:rsidRPr="00D86325">
              <w:rPr>
                <w:rFonts w:ascii="Verdana" w:hAnsi="Verdana" w:cs="Arial"/>
                <w:b/>
                <w:color w:val="000000" w:themeColor="text1"/>
              </w:rPr>
              <w:t xml:space="preserve">DEMANDADOS: </w:t>
            </w:r>
            <w:r w:rsidRPr="00D86325">
              <w:rPr>
                <w:rFonts w:ascii="Verdana" w:hAnsi="Verdana" w:cs="Arial"/>
                <w:color w:val="000000" w:themeColor="text1"/>
              </w:rPr>
              <w:t>INSTITUTO COLOMBIANO DE BIENESTAR FAMILIAR -ICBF Y XXXX</w:t>
            </w:r>
          </w:p>
          <w:p w14:paraId="68F4ACAB" w14:textId="77777777" w:rsidR="00A16C29" w:rsidRPr="00D86325" w:rsidRDefault="00A16C29" w:rsidP="00A35C22">
            <w:pPr>
              <w:spacing w:after="0" w:line="240" w:lineRule="auto"/>
              <w:jc w:val="both"/>
              <w:rPr>
                <w:rFonts w:ascii="Verdana" w:eastAsia="Times New Roman" w:hAnsi="Verdana" w:cs="Arial"/>
                <w:color w:val="000000" w:themeColor="text1"/>
                <w:lang w:eastAsia="es-ES"/>
              </w:rPr>
            </w:pPr>
            <w:r w:rsidRPr="00D86325">
              <w:rPr>
                <w:rFonts w:ascii="Verdana" w:hAnsi="Verdana" w:cs="Arial"/>
                <w:b/>
                <w:color w:val="000000" w:themeColor="text1"/>
              </w:rPr>
              <w:t xml:space="preserve">DESPACHO: </w:t>
            </w:r>
            <w:r w:rsidRPr="00D86325">
              <w:rPr>
                <w:rFonts w:ascii="Verdana" w:hAnsi="Verdana" w:cs="Arial"/>
                <w:bCs/>
                <w:color w:val="000000" w:themeColor="text1"/>
                <w:highlight w:val="yellow"/>
              </w:rPr>
              <w:t>JXXXXX</w:t>
            </w:r>
          </w:p>
          <w:p w14:paraId="0D9107B9" w14:textId="77777777" w:rsidR="00A16C29" w:rsidRPr="00D86325" w:rsidRDefault="00A16C29" w:rsidP="00A35C22">
            <w:pPr>
              <w:spacing w:line="240" w:lineRule="auto"/>
              <w:contextualSpacing/>
              <w:rPr>
                <w:rFonts w:ascii="Verdana" w:eastAsia="Arial" w:hAnsi="Verdana" w:cs="Arial"/>
                <w:bCs/>
                <w:color w:val="000000" w:themeColor="text1"/>
                <w:lang w:val="es-CO"/>
              </w:rPr>
            </w:pPr>
            <w:r w:rsidRPr="00D86325">
              <w:rPr>
                <w:rFonts w:ascii="Verdana" w:hAnsi="Verdana" w:cs="Arial"/>
                <w:b/>
                <w:color w:val="000000" w:themeColor="text1"/>
              </w:rPr>
              <w:t xml:space="preserve">RADICADO: </w:t>
            </w:r>
            <w:r w:rsidRPr="00D86325">
              <w:rPr>
                <w:rFonts w:ascii="Verdana" w:hAnsi="Verdana" w:cs="Arial"/>
                <w:color w:val="000000" w:themeColor="text1"/>
                <w:highlight w:val="yellow"/>
                <w:lang w:val="es-CO" w:eastAsia="es-CO"/>
              </w:rPr>
              <w:t>XXXXX</w:t>
            </w:r>
            <w:r w:rsidRPr="00D86325">
              <w:rPr>
                <w:rFonts w:ascii="Verdana" w:eastAsia="Arial" w:hAnsi="Verdana" w:cs="Arial"/>
                <w:bCs/>
                <w:color w:val="000000" w:themeColor="text1"/>
              </w:rPr>
              <w:t xml:space="preserve">.  </w:t>
            </w:r>
          </w:p>
          <w:p w14:paraId="0FE1F164" w14:textId="77777777" w:rsidR="00A16C29" w:rsidRPr="00D86325" w:rsidRDefault="00A16C29" w:rsidP="00A35C22">
            <w:pPr>
              <w:spacing w:after="0" w:line="240" w:lineRule="auto"/>
              <w:contextualSpacing/>
              <w:jc w:val="both"/>
              <w:rPr>
                <w:rFonts w:ascii="Verdana" w:hAnsi="Verdana" w:cs="Arial"/>
                <w:color w:val="000000" w:themeColor="text1"/>
              </w:rPr>
            </w:pPr>
            <w:r w:rsidRPr="00D86325">
              <w:rPr>
                <w:rFonts w:ascii="Verdana" w:hAnsi="Verdana" w:cs="Arial"/>
                <w:b/>
                <w:color w:val="000000" w:themeColor="text1"/>
              </w:rPr>
              <w:t xml:space="preserve">FECHA DE AUDIENCIA: </w:t>
            </w:r>
            <w:r w:rsidRPr="00D86325">
              <w:rPr>
                <w:rFonts w:ascii="Verdana" w:hAnsi="Verdana" w:cs="Arial"/>
                <w:color w:val="000000" w:themeColor="text1"/>
                <w:highlight w:val="yellow"/>
              </w:rPr>
              <w:t xml:space="preserve">XXXXX </w:t>
            </w:r>
          </w:p>
          <w:p w14:paraId="69F6511B" w14:textId="77777777" w:rsidR="00A16C29" w:rsidRPr="00D86325" w:rsidRDefault="00A16C29" w:rsidP="00A35C22">
            <w:pPr>
              <w:spacing w:after="0" w:line="240" w:lineRule="auto"/>
              <w:contextualSpacing/>
              <w:jc w:val="both"/>
              <w:rPr>
                <w:rFonts w:ascii="Verdana" w:hAnsi="Verdana" w:cs="Arial"/>
                <w:color w:val="000000" w:themeColor="text1"/>
              </w:rPr>
            </w:pPr>
            <w:r w:rsidRPr="00D86325">
              <w:rPr>
                <w:rFonts w:ascii="Verdana" w:hAnsi="Verdana" w:cs="Arial"/>
                <w:b/>
                <w:bCs/>
                <w:color w:val="000000" w:themeColor="text1"/>
              </w:rPr>
              <w:t>LLAMAMIENTO EN GARANTIA:</w:t>
            </w:r>
            <w:r w:rsidRPr="00D86325">
              <w:rPr>
                <w:rFonts w:ascii="Verdana" w:hAnsi="Verdana" w:cs="Arial"/>
                <w:color w:val="000000" w:themeColor="text1"/>
              </w:rPr>
              <w:t xml:space="preserve"> </w:t>
            </w:r>
            <w:r w:rsidRPr="00D86325">
              <w:rPr>
                <w:rFonts w:ascii="Verdana" w:hAnsi="Verdana" w:cs="Arial"/>
                <w:color w:val="000000" w:themeColor="text1"/>
                <w:highlight w:val="yellow"/>
              </w:rPr>
              <w:t>XXXXX</w:t>
            </w:r>
          </w:p>
          <w:p w14:paraId="38D354AE" w14:textId="4A23F16D" w:rsidR="0030181D" w:rsidRDefault="0030181D" w:rsidP="00A35C22">
            <w:pPr>
              <w:spacing w:after="0" w:line="240" w:lineRule="auto"/>
              <w:contextualSpacing/>
              <w:jc w:val="both"/>
              <w:rPr>
                <w:rFonts w:ascii="Verdana" w:hAnsi="Verdana" w:cs="Arial"/>
                <w:color w:val="000000" w:themeColor="text1"/>
              </w:rPr>
            </w:pPr>
            <w:r w:rsidRPr="00D86325">
              <w:rPr>
                <w:rFonts w:ascii="Verdana" w:hAnsi="Verdana" w:cs="Arial"/>
                <w:b/>
                <w:bCs/>
                <w:color w:val="000000" w:themeColor="text1"/>
              </w:rPr>
              <w:t xml:space="preserve">ACTO ADMINISTRATIVO: </w:t>
            </w:r>
            <w:r w:rsidR="00A16C29" w:rsidRPr="00D86325">
              <w:rPr>
                <w:rFonts w:ascii="Verdana" w:hAnsi="Verdana" w:cs="Arial"/>
                <w:color w:val="000000" w:themeColor="text1"/>
                <w:highlight w:val="yellow"/>
              </w:rPr>
              <w:t>XXXX</w:t>
            </w:r>
            <w:r w:rsidRPr="00D86325">
              <w:rPr>
                <w:rFonts w:ascii="Verdana" w:hAnsi="Verdana" w:cs="Arial"/>
                <w:color w:val="000000" w:themeColor="text1"/>
              </w:rPr>
              <w:t xml:space="preserve"> </w:t>
            </w:r>
          </w:p>
          <w:p w14:paraId="51966A4C" w14:textId="77777777" w:rsidR="00D86325" w:rsidRPr="00D86325" w:rsidRDefault="00D86325" w:rsidP="00A35C22">
            <w:pPr>
              <w:spacing w:after="0" w:line="240" w:lineRule="auto"/>
              <w:contextualSpacing/>
              <w:jc w:val="both"/>
              <w:rPr>
                <w:rFonts w:ascii="Verdana" w:hAnsi="Verdana" w:cs="Arial"/>
                <w:color w:val="000000" w:themeColor="text1"/>
              </w:rPr>
            </w:pPr>
          </w:p>
          <w:p w14:paraId="52D740F4" w14:textId="7B42814A" w:rsidR="000D59A8" w:rsidRPr="00D86325" w:rsidRDefault="000D59A8" w:rsidP="00A35C22">
            <w:pPr>
              <w:spacing w:after="0" w:line="240" w:lineRule="auto"/>
              <w:contextualSpacing/>
              <w:jc w:val="both"/>
              <w:rPr>
                <w:rFonts w:ascii="Verdana" w:hAnsi="Verdana" w:cs="Arial"/>
                <w:bCs/>
                <w:color w:val="000000" w:themeColor="text1"/>
              </w:rPr>
            </w:pPr>
          </w:p>
        </w:tc>
      </w:tr>
    </w:tbl>
    <w:p w14:paraId="05A2F2C9" w14:textId="77777777" w:rsidR="000D59A8" w:rsidRPr="00D86325" w:rsidRDefault="000D59A8" w:rsidP="00A35C22">
      <w:pPr>
        <w:spacing w:after="0" w:line="240" w:lineRule="auto"/>
        <w:jc w:val="both"/>
        <w:rPr>
          <w:rFonts w:ascii="Verdana" w:hAnsi="Verdana" w:cs="Arial"/>
          <w:color w:val="000000" w:themeColor="text1"/>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65"/>
      </w:tblGrid>
      <w:tr w:rsidR="00777295" w:rsidRPr="00D86325" w14:paraId="7CF12399" w14:textId="77777777" w:rsidTr="00CC1354">
        <w:tc>
          <w:tcPr>
            <w:tcW w:w="10065" w:type="dxa"/>
            <w:tcBorders>
              <w:top w:val="single" w:sz="4" w:space="0" w:color="auto"/>
              <w:left w:val="single" w:sz="4" w:space="0" w:color="auto"/>
              <w:bottom w:val="single" w:sz="4" w:space="0" w:color="auto"/>
              <w:right w:val="single" w:sz="4" w:space="0" w:color="auto"/>
            </w:tcBorders>
            <w:hideMark/>
          </w:tcPr>
          <w:p w14:paraId="5748AE55" w14:textId="77777777" w:rsidR="000D59A8" w:rsidRPr="00D86325" w:rsidRDefault="000D59A8" w:rsidP="00A35C22">
            <w:pPr>
              <w:numPr>
                <w:ilvl w:val="0"/>
                <w:numId w:val="1"/>
              </w:numPr>
              <w:spacing w:after="0" w:line="240" w:lineRule="auto"/>
              <w:jc w:val="center"/>
              <w:rPr>
                <w:rFonts w:ascii="Verdana" w:hAnsi="Verdana" w:cs="Arial"/>
                <w:color w:val="000000" w:themeColor="text1"/>
              </w:rPr>
            </w:pPr>
            <w:r w:rsidRPr="00D86325">
              <w:rPr>
                <w:rFonts w:ascii="Verdana" w:hAnsi="Verdana" w:cs="Arial"/>
                <w:b/>
                <w:color w:val="000000" w:themeColor="text1"/>
              </w:rPr>
              <w:t>DATOS PECUNIARIOS</w:t>
            </w:r>
            <w:r w:rsidRPr="00D86325">
              <w:rPr>
                <w:rFonts w:ascii="Verdana" w:hAnsi="Verdana" w:cs="Arial"/>
                <w:color w:val="000000" w:themeColor="text1"/>
              </w:rPr>
              <w:t>:</w:t>
            </w:r>
          </w:p>
          <w:p w14:paraId="1A54DE41" w14:textId="77777777" w:rsidR="000D59A8" w:rsidRPr="00D86325" w:rsidRDefault="000D59A8" w:rsidP="00A35C22">
            <w:pPr>
              <w:spacing w:after="0" w:line="240" w:lineRule="auto"/>
              <w:jc w:val="both"/>
              <w:rPr>
                <w:rFonts w:ascii="Verdana" w:hAnsi="Verdana" w:cs="Arial"/>
                <w:color w:val="000000" w:themeColor="text1"/>
              </w:rPr>
            </w:pPr>
          </w:p>
          <w:p w14:paraId="67ECD851" w14:textId="77777777" w:rsidR="00A16C29" w:rsidRPr="00D86325" w:rsidRDefault="00A16C29" w:rsidP="00A35C22">
            <w:pPr>
              <w:spacing w:line="240" w:lineRule="auto"/>
              <w:jc w:val="both"/>
              <w:rPr>
                <w:rFonts w:ascii="Verdana" w:eastAsiaTheme="minorHAnsi" w:hAnsi="Verdana" w:cs="Arial"/>
                <w:color w:val="000000" w:themeColor="text1"/>
              </w:rPr>
            </w:pPr>
            <w:r w:rsidRPr="00D86325">
              <w:rPr>
                <w:rFonts w:ascii="Verdana" w:hAnsi="Verdana" w:cs="Arial"/>
                <w:color w:val="000000" w:themeColor="text1"/>
              </w:rPr>
              <w:t xml:space="preserve">Las cuantías enunciadas en la demanda ascienden a la suma de </w:t>
            </w:r>
            <w:r w:rsidRPr="00D86325">
              <w:rPr>
                <w:rFonts w:ascii="Verdana" w:hAnsi="Verdana" w:cs="Arial"/>
                <w:b/>
                <w:bCs/>
                <w:color w:val="000000" w:themeColor="text1"/>
              </w:rPr>
              <w:t xml:space="preserve">XXXXX </w:t>
            </w:r>
            <w:r w:rsidRPr="00D86325">
              <w:rPr>
                <w:rFonts w:ascii="Verdana" w:hAnsi="Verdana" w:cs="Arial"/>
                <w:bCs/>
                <w:color w:val="000000" w:themeColor="text1"/>
                <w:shd w:val="clear" w:color="auto" w:fill="FFFFFF"/>
                <w:lang w:bidi="he-IL"/>
              </w:rPr>
              <w:t xml:space="preserve">en los siguientes términos: </w:t>
            </w:r>
            <w:r w:rsidRPr="00D86325">
              <w:rPr>
                <w:rFonts w:ascii="Verdana" w:hAnsi="Verdana" w:cs="Arial"/>
                <w:color w:val="000000" w:themeColor="text1"/>
              </w:rPr>
              <w:t xml:space="preserve"> </w:t>
            </w:r>
          </w:p>
          <w:p w14:paraId="5E33D24C" w14:textId="04339736" w:rsidR="001862B5" w:rsidRPr="00D86325" w:rsidRDefault="00A16C29" w:rsidP="00A35C22">
            <w:pPr>
              <w:spacing w:line="240" w:lineRule="auto"/>
              <w:jc w:val="both"/>
              <w:rPr>
                <w:rFonts w:ascii="Verdana" w:eastAsiaTheme="minorHAnsi" w:hAnsi="Verdana" w:cs="Arial"/>
                <w:i/>
                <w:iCs/>
                <w:color w:val="000000" w:themeColor="text1"/>
                <w:lang w:val="es-CO"/>
              </w:rPr>
            </w:pPr>
            <w:r w:rsidRPr="00D86325">
              <w:rPr>
                <w:rFonts w:ascii="Verdana" w:eastAsia="Times New Roman" w:hAnsi="Verdana" w:cs="Arial"/>
                <w:color w:val="000000" w:themeColor="text1"/>
                <w:highlight w:val="yellow"/>
              </w:rPr>
              <w:t>Resumir las pretensiones de la demanda declarativas y de condena.</w:t>
            </w:r>
            <w:r w:rsidRPr="00D86325">
              <w:rPr>
                <w:rFonts w:ascii="Verdana" w:eastAsia="Times New Roman" w:hAnsi="Verdana" w:cs="Arial"/>
                <w:color w:val="000000" w:themeColor="text1"/>
              </w:rPr>
              <w:t xml:space="preserve"> </w:t>
            </w:r>
          </w:p>
          <w:p w14:paraId="2E1C7636" w14:textId="77777777" w:rsidR="001862B5" w:rsidRPr="00D86325" w:rsidRDefault="001862B5" w:rsidP="00A35C22">
            <w:pPr>
              <w:spacing w:line="240" w:lineRule="auto"/>
              <w:jc w:val="both"/>
              <w:rPr>
                <w:rFonts w:ascii="Verdana" w:eastAsiaTheme="minorHAnsi" w:hAnsi="Verdana" w:cs="Arial"/>
                <w:i/>
                <w:iCs/>
                <w:color w:val="000000" w:themeColor="text1"/>
                <w:lang w:val="es-CO"/>
              </w:rPr>
            </w:pPr>
          </w:p>
          <w:p w14:paraId="6B4CD0BF" w14:textId="3AD8BA28" w:rsidR="00E359FE" w:rsidRPr="00D86325" w:rsidRDefault="00E359FE" w:rsidP="00A35C22">
            <w:pPr>
              <w:spacing w:line="240" w:lineRule="auto"/>
              <w:jc w:val="both"/>
              <w:rPr>
                <w:rFonts w:ascii="Verdana" w:eastAsiaTheme="minorHAnsi" w:hAnsi="Verdana" w:cs="Arial"/>
                <w:color w:val="000000" w:themeColor="text1"/>
              </w:rPr>
            </w:pPr>
          </w:p>
        </w:tc>
      </w:tr>
      <w:tr w:rsidR="00777295" w:rsidRPr="00D86325" w14:paraId="5B3652F4" w14:textId="77777777" w:rsidTr="00CC1354">
        <w:tc>
          <w:tcPr>
            <w:tcW w:w="10065" w:type="dxa"/>
            <w:tcBorders>
              <w:top w:val="single" w:sz="4" w:space="0" w:color="auto"/>
              <w:left w:val="single" w:sz="4" w:space="0" w:color="auto"/>
              <w:bottom w:val="single" w:sz="4" w:space="0" w:color="auto"/>
              <w:right w:val="single" w:sz="4" w:space="0" w:color="auto"/>
            </w:tcBorders>
          </w:tcPr>
          <w:p w14:paraId="49EF9A4B" w14:textId="472CA121" w:rsidR="000D59A8" w:rsidRPr="00D86325" w:rsidRDefault="000D59A8" w:rsidP="00D86325">
            <w:pPr>
              <w:pStyle w:val="Prrafodelista"/>
              <w:numPr>
                <w:ilvl w:val="0"/>
                <w:numId w:val="1"/>
              </w:numPr>
              <w:spacing w:after="0" w:line="240" w:lineRule="auto"/>
              <w:ind w:left="3591"/>
              <w:contextualSpacing w:val="0"/>
              <w:rPr>
                <w:rFonts w:ascii="Verdana" w:hAnsi="Verdana" w:cs="Arial"/>
                <w:b/>
                <w:color w:val="000000" w:themeColor="text1"/>
                <w:lang w:val="es-MX"/>
              </w:rPr>
            </w:pPr>
            <w:r w:rsidRPr="00D86325">
              <w:rPr>
                <w:rFonts w:ascii="Verdana" w:hAnsi="Verdana" w:cs="Arial"/>
                <w:b/>
                <w:color w:val="000000" w:themeColor="text1"/>
              </w:rPr>
              <w:t>FUNDAMENTOS FÁCTICOS</w:t>
            </w:r>
          </w:p>
          <w:p w14:paraId="07FF16E0" w14:textId="77777777" w:rsidR="000D59A8" w:rsidRPr="00D86325" w:rsidRDefault="000D59A8" w:rsidP="00A35C22">
            <w:pPr>
              <w:spacing w:after="0" w:line="240" w:lineRule="auto"/>
              <w:ind w:left="57"/>
              <w:rPr>
                <w:rFonts w:ascii="Verdana" w:hAnsi="Verdana" w:cs="Arial"/>
                <w:bCs/>
                <w:color w:val="000000" w:themeColor="text1"/>
                <w:lang w:val="es-MX"/>
              </w:rPr>
            </w:pPr>
          </w:p>
          <w:p w14:paraId="3F6A84AF" w14:textId="77777777" w:rsidR="00A16C29" w:rsidRPr="00D86325" w:rsidRDefault="00A16C29" w:rsidP="00A35C22">
            <w:pPr>
              <w:spacing w:after="0" w:line="240" w:lineRule="auto"/>
              <w:ind w:right="193"/>
              <w:jc w:val="both"/>
              <w:rPr>
                <w:rFonts w:ascii="Verdana" w:hAnsi="Verdana" w:cs="Arial"/>
                <w:bCs/>
                <w:color w:val="000000" w:themeColor="text1"/>
                <w:spacing w:val="5"/>
                <w:lang w:val="es-ES_tradnl"/>
              </w:rPr>
            </w:pPr>
            <w:r w:rsidRPr="00D86325">
              <w:rPr>
                <w:rFonts w:ascii="Verdana" w:hAnsi="Verdana" w:cs="Arial"/>
                <w:bCs/>
                <w:color w:val="000000" w:themeColor="text1"/>
                <w:spacing w:val="5"/>
                <w:highlight w:val="yellow"/>
                <w:lang w:val="es-ES_tradnl"/>
              </w:rPr>
              <w:t>La apoderada de la demandante, en síntesis, relaciona los siguientes hechos:</w:t>
            </w:r>
          </w:p>
          <w:p w14:paraId="4EA55D9F" w14:textId="77777777" w:rsidR="00E359FE" w:rsidRPr="00D86325" w:rsidRDefault="00E359FE" w:rsidP="00A35C22">
            <w:pPr>
              <w:spacing w:after="0" w:line="240" w:lineRule="auto"/>
              <w:ind w:right="193"/>
              <w:jc w:val="both"/>
              <w:rPr>
                <w:rFonts w:ascii="Verdana" w:hAnsi="Verdana" w:cs="Arial"/>
                <w:bCs/>
                <w:color w:val="000000" w:themeColor="text1"/>
                <w:spacing w:val="5"/>
                <w:lang w:val="es-ES_tradnl"/>
              </w:rPr>
            </w:pPr>
          </w:p>
          <w:p w14:paraId="4FF590F0" w14:textId="77777777" w:rsidR="00A16C29" w:rsidRPr="00D86325" w:rsidRDefault="00A16C29" w:rsidP="00D86325">
            <w:pPr>
              <w:tabs>
                <w:tab w:val="left" w:pos="3760"/>
              </w:tabs>
              <w:spacing w:after="0" w:line="240" w:lineRule="auto"/>
              <w:jc w:val="both"/>
              <w:textAlignment w:val="baseline"/>
              <w:rPr>
                <w:rFonts w:ascii="Verdana" w:eastAsia="Times New Roman" w:hAnsi="Verdana" w:cs="Arial"/>
                <w:b/>
                <w:color w:val="000000" w:themeColor="text1"/>
                <w:lang w:eastAsia="es-CO"/>
              </w:rPr>
            </w:pPr>
          </w:p>
          <w:p w14:paraId="1AC62274" w14:textId="50038BF3" w:rsidR="00A16C29" w:rsidRPr="00D86325" w:rsidRDefault="00A16C29" w:rsidP="00D86325">
            <w:pPr>
              <w:pStyle w:val="Prrafodelista"/>
              <w:numPr>
                <w:ilvl w:val="0"/>
                <w:numId w:val="25"/>
              </w:numPr>
              <w:tabs>
                <w:tab w:val="left" w:pos="3760"/>
              </w:tabs>
              <w:spacing w:after="0" w:line="240" w:lineRule="auto"/>
              <w:jc w:val="both"/>
              <w:textAlignment w:val="baseline"/>
              <w:rPr>
                <w:rFonts w:ascii="Verdana" w:eastAsia="Times New Roman" w:hAnsi="Verdana" w:cs="Arial"/>
                <w:b/>
                <w:color w:val="000000" w:themeColor="text1"/>
                <w:lang w:eastAsia="es-CO"/>
              </w:rPr>
            </w:pPr>
            <w:r w:rsidRPr="00D86325">
              <w:rPr>
                <w:rFonts w:ascii="Verdana" w:eastAsia="Times New Roman" w:hAnsi="Verdana" w:cs="Arial"/>
                <w:b/>
                <w:color w:val="000000" w:themeColor="text1"/>
                <w:lang w:eastAsia="es-CO"/>
              </w:rPr>
              <w:t xml:space="preserve">ACERVO PROBATORIO </w:t>
            </w:r>
          </w:p>
          <w:p w14:paraId="3E2478C2" w14:textId="77777777" w:rsidR="00A16C29" w:rsidRPr="00D86325" w:rsidRDefault="00A16C29" w:rsidP="00D86325">
            <w:pPr>
              <w:tabs>
                <w:tab w:val="left" w:pos="3760"/>
              </w:tabs>
              <w:spacing w:after="0" w:line="240" w:lineRule="auto"/>
              <w:jc w:val="both"/>
              <w:textAlignment w:val="baseline"/>
              <w:rPr>
                <w:rFonts w:ascii="Verdana" w:eastAsia="Times New Roman" w:hAnsi="Verdana" w:cs="Arial"/>
                <w:b/>
                <w:color w:val="000000" w:themeColor="text1"/>
                <w:lang w:eastAsia="es-CO"/>
              </w:rPr>
            </w:pPr>
          </w:p>
          <w:p w14:paraId="1839824C" w14:textId="77777777" w:rsidR="00A16C29" w:rsidRPr="00D86325" w:rsidRDefault="00A16C29" w:rsidP="00D86325">
            <w:pPr>
              <w:tabs>
                <w:tab w:val="left" w:pos="3760"/>
              </w:tabs>
              <w:spacing w:after="0" w:line="240" w:lineRule="auto"/>
              <w:jc w:val="both"/>
              <w:textAlignment w:val="baseline"/>
              <w:rPr>
                <w:rFonts w:ascii="Verdana" w:eastAsia="Times New Roman" w:hAnsi="Verdana" w:cs="Arial"/>
                <w:b/>
                <w:color w:val="000000" w:themeColor="text1"/>
                <w:lang w:eastAsia="es-CO"/>
              </w:rPr>
            </w:pPr>
            <w:r w:rsidRPr="00D86325">
              <w:rPr>
                <w:rFonts w:ascii="Verdana" w:eastAsia="Times New Roman" w:hAnsi="Verdana" w:cs="Arial"/>
                <w:b/>
                <w:color w:val="000000" w:themeColor="text1"/>
                <w:highlight w:val="yellow"/>
                <w:lang w:eastAsia="es-CO"/>
              </w:rPr>
              <w:t>DEMANDA</w:t>
            </w:r>
          </w:p>
          <w:p w14:paraId="71484C96" w14:textId="77777777" w:rsidR="00A16C29" w:rsidRPr="00D86325" w:rsidRDefault="00A16C29" w:rsidP="00D86325">
            <w:pPr>
              <w:tabs>
                <w:tab w:val="left" w:pos="3760"/>
              </w:tabs>
              <w:spacing w:after="0" w:line="240" w:lineRule="auto"/>
              <w:jc w:val="both"/>
              <w:textAlignment w:val="baseline"/>
              <w:rPr>
                <w:rFonts w:ascii="Verdana" w:eastAsia="Times New Roman" w:hAnsi="Verdana" w:cs="Arial"/>
                <w:bCs/>
                <w:color w:val="000000" w:themeColor="text1"/>
                <w:lang w:eastAsia="es-CO"/>
              </w:rPr>
            </w:pPr>
          </w:p>
          <w:p w14:paraId="7DAF126C" w14:textId="77777777" w:rsidR="00A16C29" w:rsidRPr="00D86325" w:rsidRDefault="00A16C29" w:rsidP="00D86325">
            <w:pPr>
              <w:spacing w:after="0" w:line="240" w:lineRule="auto"/>
              <w:jc w:val="both"/>
              <w:textAlignment w:val="baseline"/>
              <w:rPr>
                <w:rFonts w:ascii="Verdana" w:eastAsia="Times New Roman" w:hAnsi="Verdana" w:cs="Arial"/>
                <w:b/>
                <w:color w:val="000000" w:themeColor="text1"/>
                <w:lang w:eastAsia="es-CO"/>
              </w:rPr>
            </w:pPr>
            <w:r w:rsidRPr="00D86325">
              <w:rPr>
                <w:rFonts w:ascii="Verdana" w:eastAsia="Times New Roman" w:hAnsi="Verdana" w:cs="Arial"/>
                <w:b/>
                <w:color w:val="000000" w:themeColor="text1"/>
                <w:lang w:eastAsia="es-CO"/>
              </w:rPr>
              <w:t>DOCUMENTALES:</w:t>
            </w:r>
          </w:p>
          <w:p w14:paraId="4062A3DC" w14:textId="77777777" w:rsidR="00A16C29" w:rsidRPr="00D86325" w:rsidRDefault="00A16C29" w:rsidP="00D86325">
            <w:pPr>
              <w:spacing w:after="0" w:line="240" w:lineRule="auto"/>
              <w:jc w:val="both"/>
              <w:textAlignment w:val="baseline"/>
              <w:rPr>
                <w:rFonts w:ascii="Verdana" w:eastAsia="Times New Roman" w:hAnsi="Verdana" w:cs="Arial"/>
                <w:b/>
                <w:color w:val="000000" w:themeColor="text1"/>
                <w:lang w:eastAsia="es-CO"/>
              </w:rPr>
            </w:pPr>
          </w:p>
          <w:p w14:paraId="2334F4AF" w14:textId="77777777" w:rsidR="00A16C29" w:rsidRPr="00D86325" w:rsidRDefault="00A16C29" w:rsidP="00D86325">
            <w:pPr>
              <w:spacing w:after="0" w:line="240" w:lineRule="auto"/>
              <w:jc w:val="both"/>
              <w:textAlignment w:val="baseline"/>
              <w:rPr>
                <w:rFonts w:ascii="Verdana" w:eastAsia="Times New Roman" w:hAnsi="Verdana" w:cs="Arial"/>
                <w:b/>
                <w:color w:val="000000" w:themeColor="text1"/>
                <w:lang w:eastAsia="es-CO"/>
              </w:rPr>
            </w:pPr>
            <w:r w:rsidRPr="00D86325">
              <w:rPr>
                <w:rFonts w:ascii="Verdana" w:eastAsia="Times New Roman" w:hAnsi="Verdana" w:cs="Arial"/>
                <w:b/>
                <w:color w:val="000000" w:themeColor="text1"/>
                <w:lang w:eastAsia="es-CO"/>
              </w:rPr>
              <w:t>-</w:t>
            </w:r>
          </w:p>
          <w:p w14:paraId="06A57403" w14:textId="77777777" w:rsidR="00A16C29" w:rsidRPr="00D86325" w:rsidRDefault="00A16C29" w:rsidP="00D86325">
            <w:pPr>
              <w:autoSpaceDE w:val="0"/>
              <w:autoSpaceDN w:val="0"/>
              <w:adjustRightInd w:val="0"/>
              <w:spacing w:after="0" w:line="240" w:lineRule="auto"/>
              <w:jc w:val="both"/>
              <w:rPr>
                <w:rFonts w:ascii="Verdana" w:eastAsiaTheme="minorHAnsi" w:hAnsi="Verdana" w:cs="Arial"/>
                <w:bCs/>
                <w:color w:val="000000" w:themeColor="text1"/>
              </w:rPr>
            </w:pPr>
            <w:r w:rsidRPr="00D86325">
              <w:rPr>
                <w:rFonts w:ascii="Verdana" w:eastAsiaTheme="minorHAnsi" w:hAnsi="Verdana" w:cs="Arial"/>
                <w:b/>
                <w:color w:val="000000" w:themeColor="text1"/>
              </w:rPr>
              <w:t>TESTIMONIOS</w:t>
            </w:r>
            <w:r w:rsidRPr="00D86325">
              <w:rPr>
                <w:rFonts w:ascii="Verdana" w:eastAsiaTheme="minorHAnsi" w:hAnsi="Verdana" w:cs="Arial"/>
                <w:bCs/>
                <w:color w:val="000000" w:themeColor="text1"/>
              </w:rPr>
              <w:t xml:space="preserve">: </w:t>
            </w:r>
          </w:p>
          <w:p w14:paraId="14603A9C" w14:textId="77777777" w:rsidR="00A16C29" w:rsidRPr="00D86325" w:rsidRDefault="00A16C29" w:rsidP="00D86325">
            <w:pPr>
              <w:autoSpaceDE w:val="0"/>
              <w:autoSpaceDN w:val="0"/>
              <w:adjustRightInd w:val="0"/>
              <w:spacing w:after="0" w:line="240" w:lineRule="auto"/>
              <w:jc w:val="both"/>
              <w:rPr>
                <w:rFonts w:ascii="Verdana" w:eastAsiaTheme="minorHAnsi" w:hAnsi="Verdana" w:cs="Arial"/>
                <w:bCs/>
                <w:color w:val="000000" w:themeColor="text1"/>
              </w:rPr>
            </w:pPr>
          </w:p>
          <w:p w14:paraId="4AB529E5" w14:textId="77777777" w:rsidR="00A16C29" w:rsidRPr="00D86325" w:rsidRDefault="00A16C29" w:rsidP="00D86325">
            <w:pPr>
              <w:autoSpaceDE w:val="0"/>
              <w:autoSpaceDN w:val="0"/>
              <w:adjustRightInd w:val="0"/>
              <w:spacing w:after="0" w:line="240" w:lineRule="auto"/>
              <w:jc w:val="both"/>
              <w:rPr>
                <w:rFonts w:ascii="Verdana" w:eastAsiaTheme="minorHAnsi" w:hAnsi="Verdana" w:cs="Arial"/>
                <w:bCs/>
                <w:color w:val="000000" w:themeColor="text1"/>
              </w:rPr>
            </w:pPr>
            <w:r w:rsidRPr="00D86325">
              <w:rPr>
                <w:rFonts w:ascii="Verdana" w:eastAsiaTheme="minorHAnsi" w:hAnsi="Verdana" w:cs="Arial"/>
                <w:bCs/>
                <w:color w:val="000000" w:themeColor="text1"/>
              </w:rPr>
              <w:t>-</w:t>
            </w:r>
          </w:p>
          <w:p w14:paraId="33BBCE52" w14:textId="77777777" w:rsidR="00A16C29" w:rsidRPr="00D86325" w:rsidRDefault="00A16C29" w:rsidP="00D86325">
            <w:pPr>
              <w:autoSpaceDE w:val="0"/>
              <w:autoSpaceDN w:val="0"/>
              <w:adjustRightInd w:val="0"/>
              <w:spacing w:after="0" w:line="240" w:lineRule="auto"/>
              <w:jc w:val="both"/>
              <w:rPr>
                <w:rFonts w:ascii="Verdana" w:hAnsi="Verdana" w:cs="Arial"/>
                <w:b/>
                <w:color w:val="000000" w:themeColor="text1"/>
              </w:rPr>
            </w:pPr>
            <w:r w:rsidRPr="00D86325">
              <w:rPr>
                <w:rFonts w:ascii="Verdana" w:hAnsi="Verdana" w:cs="Arial"/>
                <w:b/>
                <w:color w:val="000000" w:themeColor="text1"/>
              </w:rPr>
              <w:t>INTERROGATORIO DE PARTE</w:t>
            </w:r>
          </w:p>
          <w:p w14:paraId="46E6FF3F" w14:textId="77777777" w:rsidR="00A16C29" w:rsidRPr="00D86325" w:rsidRDefault="00A16C29" w:rsidP="00A35C22">
            <w:pPr>
              <w:autoSpaceDE w:val="0"/>
              <w:autoSpaceDN w:val="0"/>
              <w:adjustRightInd w:val="0"/>
              <w:spacing w:after="0" w:line="240" w:lineRule="auto"/>
              <w:jc w:val="both"/>
              <w:rPr>
                <w:rFonts w:ascii="Verdana" w:hAnsi="Verdana" w:cs="Arial"/>
                <w:b/>
                <w:color w:val="000000" w:themeColor="text1"/>
              </w:rPr>
            </w:pPr>
            <w:r w:rsidRPr="00D86325">
              <w:rPr>
                <w:rFonts w:ascii="Verdana" w:hAnsi="Verdana" w:cs="Arial"/>
                <w:b/>
                <w:color w:val="000000" w:themeColor="text1"/>
              </w:rPr>
              <w:t>-</w:t>
            </w:r>
          </w:p>
          <w:p w14:paraId="6EC462F3" w14:textId="77777777" w:rsidR="00A16C29" w:rsidRPr="00D86325" w:rsidRDefault="00A16C29" w:rsidP="00A35C22">
            <w:pPr>
              <w:autoSpaceDE w:val="0"/>
              <w:autoSpaceDN w:val="0"/>
              <w:adjustRightInd w:val="0"/>
              <w:spacing w:after="0" w:line="240" w:lineRule="auto"/>
              <w:jc w:val="both"/>
              <w:rPr>
                <w:rFonts w:ascii="Verdana" w:hAnsi="Verdana" w:cs="Arial"/>
                <w:b/>
                <w:color w:val="000000" w:themeColor="text1"/>
              </w:rPr>
            </w:pPr>
          </w:p>
          <w:p w14:paraId="7F14FACF" w14:textId="77777777" w:rsidR="00A16C29" w:rsidRPr="00D86325" w:rsidRDefault="00A16C29" w:rsidP="00A35C22">
            <w:pPr>
              <w:spacing w:line="240" w:lineRule="auto"/>
              <w:ind w:right="220"/>
              <w:jc w:val="both"/>
              <w:rPr>
                <w:rFonts w:ascii="Verdana" w:eastAsia="Arial" w:hAnsi="Verdana" w:cs="Arial"/>
                <w:b/>
                <w:color w:val="000000" w:themeColor="text1"/>
                <w:lang w:eastAsia="es-ES"/>
              </w:rPr>
            </w:pPr>
            <w:r w:rsidRPr="00D86325">
              <w:rPr>
                <w:rFonts w:ascii="Verdana" w:eastAsia="Arial" w:hAnsi="Verdana" w:cs="Arial"/>
                <w:b/>
                <w:color w:val="000000" w:themeColor="text1"/>
                <w:highlight w:val="yellow"/>
                <w:lang w:eastAsia="es-ES"/>
              </w:rPr>
              <w:t>POR LA DEMANDADA ICBF</w:t>
            </w:r>
          </w:p>
          <w:p w14:paraId="62E6E530" w14:textId="77777777" w:rsidR="00A16C29" w:rsidRPr="00D86325" w:rsidRDefault="00A16C29" w:rsidP="00A35C22">
            <w:pPr>
              <w:spacing w:after="0" w:line="240" w:lineRule="auto"/>
              <w:jc w:val="both"/>
              <w:rPr>
                <w:rFonts w:ascii="Verdana" w:hAnsi="Verdana" w:cs="Arial"/>
                <w:b/>
                <w:bCs/>
                <w:color w:val="000000" w:themeColor="text1"/>
              </w:rPr>
            </w:pPr>
            <w:r w:rsidRPr="00D86325">
              <w:rPr>
                <w:rFonts w:ascii="Verdana" w:hAnsi="Verdana" w:cs="Arial"/>
                <w:b/>
                <w:bCs/>
                <w:color w:val="000000" w:themeColor="text1"/>
              </w:rPr>
              <w:t>DOCUMENTALES:</w:t>
            </w:r>
          </w:p>
          <w:p w14:paraId="4EF3445E" w14:textId="77777777" w:rsidR="00A16C29" w:rsidRPr="00D86325" w:rsidRDefault="00A16C29" w:rsidP="00A35C22">
            <w:pPr>
              <w:spacing w:after="0" w:line="240" w:lineRule="auto"/>
              <w:jc w:val="both"/>
              <w:rPr>
                <w:rFonts w:ascii="Verdana" w:hAnsi="Verdana" w:cs="Arial"/>
                <w:b/>
                <w:bCs/>
                <w:color w:val="000000" w:themeColor="text1"/>
              </w:rPr>
            </w:pPr>
          </w:p>
          <w:p w14:paraId="5431ABDC" w14:textId="77777777" w:rsidR="00A16C29" w:rsidRPr="00D86325" w:rsidRDefault="00A16C29" w:rsidP="00D86325">
            <w:pPr>
              <w:spacing w:after="0" w:line="240" w:lineRule="auto"/>
              <w:ind w:left="113"/>
              <w:rPr>
                <w:rFonts w:ascii="Verdana" w:hAnsi="Verdana" w:cs="Arial"/>
                <w:b/>
                <w:bCs/>
                <w:color w:val="000000" w:themeColor="text1"/>
              </w:rPr>
            </w:pPr>
            <w:r w:rsidRPr="00D86325">
              <w:rPr>
                <w:rFonts w:ascii="Verdana" w:hAnsi="Verdana" w:cs="Arial"/>
                <w:b/>
                <w:bCs/>
                <w:color w:val="000000" w:themeColor="text1"/>
              </w:rPr>
              <w:t>INTERROGATORIO DE PARTE</w:t>
            </w:r>
          </w:p>
          <w:p w14:paraId="109AFBEE" w14:textId="77777777" w:rsidR="00A16C29" w:rsidRPr="00D86325" w:rsidRDefault="00A16C29" w:rsidP="00A35C22">
            <w:pPr>
              <w:spacing w:after="0" w:line="240" w:lineRule="auto"/>
              <w:rPr>
                <w:rFonts w:ascii="Verdana" w:hAnsi="Verdana" w:cs="Arial"/>
                <w:b/>
                <w:bCs/>
                <w:color w:val="000000" w:themeColor="text1"/>
              </w:rPr>
            </w:pPr>
          </w:p>
          <w:p w14:paraId="24BF873E" w14:textId="77777777" w:rsidR="00A16C29" w:rsidRPr="00D86325" w:rsidRDefault="00A16C29" w:rsidP="00A35C22">
            <w:pPr>
              <w:pStyle w:val="Prrafodelista"/>
              <w:numPr>
                <w:ilvl w:val="0"/>
                <w:numId w:val="20"/>
              </w:numPr>
              <w:spacing w:after="0" w:line="240" w:lineRule="auto"/>
              <w:jc w:val="both"/>
              <w:rPr>
                <w:rFonts w:ascii="Verdana" w:hAnsi="Verdana" w:cs="Arial"/>
                <w:color w:val="000000" w:themeColor="text1"/>
              </w:rPr>
            </w:pPr>
            <w:r w:rsidRPr="00D86325">
              <w:rPr>
                <w:rFonts w:ascii="Verdana" w:hAnsi="Verdana" w:cs="Arial"/>
                <w:color w:val="000000" w:themeColor="text1"/>
              </w:rPr>
              <w:lastRenderedPageBreak/>
              <w:t xml:space="preserve">De la parte demandante. </w:t>
            </w:r>
          </w:p>
          <w:p w14:paraId="62B42EB0" w14:textId="77777777" w:rsidR="00A16C29" w:rsidRPr="00D86325" w:rsidRDefault="00A16C29" w:rsidP="00A35C22">
            <w:pPr>
              <w:pStyle w:val="Prrafodelista"/>
              <w:numPr>
                <w:ilvl w:val="0"/>
                <w:numId w:val="20"/>
              </w:numPr>
              <w:spacing w:after="0" w:line="240" w:lineRule="auto"/>
              <w:jc w:val="both"/>
              <w:rPr>
                <w:rFonts w:ascii="Verdana" w:hAnsi="Verdana" w:cs="Arial"/>
                <w:color w:val="000000" w:themeColor="text1"/>
              </w:rPr>
            </w:pPr>
            <w:r w:rsidRPr="00D86325">
              <w:rPr>
                <w:rFonts w:ascii="Verdana" w:hAnsi="Verdana" w:cs="Arial"/>
                <w:color w:val="000000" w:themeColor="text1"/>
              </w:rPr>
              <w:t xml:space="preserve">Del Representante legal del operador. </w:t>
            </w:r>
          </w:p>
          <w:p w14:paraId="356FF59F" w14:textId="77777777" w:rsidR="00A16C29" w:rsidRPr="00D86325" w:rsidRDefault="00A16C29" w:rsidP="00A35C22">
            <w:pPr>
              <w:pStyle w:val="Prrafodelista"/>
              <w:numPr>
                <w:ilvl w:val="0"/>
                <w:numId w:val="20"/>
              </w:numPr>
              <w:spacing w:after="0" w:line="240" w:lineRule="auto"/>
              <w:jc w:val="both"/>
              <w:rPr>
                <w:rFonts w:ascii="Verdana" w:hAnsi="Verdana" w:cs="Arial"/>
                <w:color w:val="000000" w:themeColor="text1"/>
              </w:rPr>
            </w:pPr>
            <w:r w:rsidRPr="00D86325">
              <w:rPr>
                <w:rFonts w:ascii="Verdana" w:hAnsi="Verdana" w:cs="Arial"/>
                <w:color w:val="000000" w:themeColor="text1"/>
              </w:rPr>
              <w:t xml:space="preserve">Del Supervisor del contrato de aportes. </w:t>
            </w:r>
          </w:p>
          <w:p w14:paraId="232EACE1" w14:textId="77777777" w:rsidR="00A16C29" w:rsidRPr="00D86325" w:rsidRDefault="00A16C29" w:rsidP="00A35C22">
            <w:pPr>
              <w:spacing w:after="0" w:line="240" w:lineRule="auto"/>
              <w:jc w:val="both"/>
              <w:rPr>
                <w:rFonts w:ascii="Verdana" w:hAnsi="Verdana" w:cs="Arial"/>
                <w:color w:val="000000" w:themeColor="text1"/>
              </w:rPr>
            </w:pPr>
          </w:p>
          <w:p w14:paraId="50AAFE97" w14:textId="77777777" w:rsidR="00A16C29" w:rsidRPr="00D86325" w:rsidRDefault="00A16C29" w:rsidP="00D86325">
            <w:pPr>
              <w:spacing w:after="0" w:line="240" w:lineRule="auto"/>
              <w:ind w:left="113" w:right="283"/>
              <w:jc w:val="both"/>
              <w:rPr>
                <w:rFonts w:ascii="Verdana" w:hAnsi="Verdana" w:cs="Arial"/>
                <w:b/>
                <w:bCs/>
                <w:color w:val="000000" w:themeColor="text1"/>
              </w:rPr>
            </w:pPr>
            <w:r w:rsidRPr="00D86325">
              <w:rPr>
                <w:rFonts w:ascii="Verdana" w:hAnsi="Verdana" w:cs="Arial"/>
                <w:b/>
                <w:bCs/>
                <w:color w:val="000000" w:themeColor="text1"/>
              </w:rPr>
              <w:t xml:space="preserve">IMPROCEDENCIA DEL INTERROGATORIO DE PARTE AL REPRESENTANTE LEGAL DEL ICBF </w:t>
            </w:r>
          </w:p>
          <w:p w14:paraId="4AF5D24D" w14:textId="77777777" w:rsidR="00A16C29" w:rsidRPr="00D86325" w:rsidRDefault="00A16C29" w:rsidP="00A35C22">
            <w:pPr>
              <w:spacing w:after="0" w:line="240" w:lineRule="auto"/>
              <w:jc w:val="both"/>
              <w:rPr>
                <w:rFonts w:ascii="Verdana" w:hAnsi="Verdana" w:cs="Arial"/>
                <w:color w:val="000000" w:themeColor="text1"/>
              </w:rPr>
            </w:pPr>
          </w:p>
          <w:p w14:paraId="774A7D6C" w14:textId="5391BFF2" w:rsidR="00AE15BE" w:rsidRDefault="00A16C29" w:rsidP="00D86325">
            <w:pPr>
              <w:spacing w:after="0" w:line="240" w:lineRule="auto"/>
              <w:ind w:left="170" w:right="227"/>
              <w:jc w:val="both"/>
              <w:rPr>
                <w:rFonts w:ascii="Verdana" w:hAnsi="Verdana" w:cs="Arial"/>
                <w:color w:val="000000" w:themeColor="text1"/>
              </w:rPr>
            </w:pPr>
            <w:r w:rsidRPr="00D86325">
              <w:rPr>
                <w:rFonts w:ascii="Verdana" w:hAnsi="Verdana" w:cs="Arial"/>
                <w:color w:val="000000" w:themeColor="text1"/>
              </w:rPr>
              <w:t xml:space="preserve">El apoderado de la parte demandante solicitó dentro del acápite probatorio que, se llamara para interrogatorio de parte al representante legal del ICBF, no obstante, dicha solicitud no debe prosperar, </w:t>
            </w:r>
            <w:r w:rsidRPr="00D86325">
              <w:rPr>
                <w:rFonts w:ascii="Verdana" w:hAnsi="Verdana" w:cs="Arial"/>
                <w:b/>
                <w:bCs/>
                <w:color w:val="000000" w:themeColor="text1"/>
              </w:rPr>
              <w:t>toda vez que el artículo 195 del Código General del Proceso (CGP) establece que los representantes legales de entidades públicas no pueden surtir interrogatorio de parte que conlleva implícitamente a la confesión.</w:t>
            </w:r>
            <w:r w:rsidRPr="00D86325">
              <w:rPr>
                <w:rFonts w:ascii="Verdana" w:hAnsi="Verdana" w:cs="Arial"/>
                <w:color w:val="000000" w:themeColor="text1"/>
              </w:rPr>
              <w:t xml:space="preserve"> Por lo anterior, ruego a Su Señoría, denegar la petición de la parte actora al respecto.</w:t>
            </w:r>
          </w:p>
          <w:p w14:paraId="2EBE1F83" w14:textId="77777777" w:rsidR="00D86325" w:rsidRPr="00D86325" w:rsidRDefault="00D86325" w:rsidP="00D86325">
            <w:pPr>
              <w:spacing w:after="0" w:line="240" w:lineRule="auto"/>
              <w:ind w:left="170" w:right="227"/>
              <w:jc w:val="both"/>
              <w:rPr>
                <w:rFonts w:ascii="Verdana" w:hAnsi="Verdana" w:cs="Arial"/>
                <w:color w:val="000000" w:themeColor="text1"/>
              </w:rPr>
            </w:pPr>
          </w:p>
          <w:p w14:paraId="09ACA3A6" w14:textId="77777777" w:rsidR="00A16C29" w:rsidRPr="00D86325" w:rsidRDefault="00A16C29" w:rsidP="00A35C22">
            <w:pPr>
              <w:spacing w:after="0" w:line="240" w:lineRule="auto"/>
              <w:ind w:left="705"/>
              <w:jc w:val="both"/>
              <w:rPr>
                <w:rFonts w:ascii="Verdana" w:hAnsi="Verdana" w:cs="Arial"/>
                <w:color w:val="000000" w:themeColor="text1"/>
                <w:lang w:val="es-CO"/>
              </w:rPr>
            </w:pPr>
          </w:p>
          <w:p w14:paraId="4F26A1AA" w14:textId="77777777" w:rsidR="000D59A8" w:rsidRPr="00D86325" w:rsidRDefault="000D59A8" w:rsidP="00D86325">
            <w:pPr>
              <w:numPr>
                <w:ilvl w:val="0"/>
                <w:numId w:val="25"/>
              </w:numPr>
              <w:spacing w:after="0" w:line="240" w:lineRule="auto"/>
              <w:ind w:left="-5706"/>
              <w:jc w:val="center"/>
              <w:rPr>
                <w:rFonts w:ascii="Verdana" w:hAnsi="Verdana" w:cs="Arial"/>
                <w:b/>
                <w:color w:val="000000" w:themeColor="text1"/>
                <w:lang w:val="es-CO"/>
              </w:rPr>
            </w:pPr>
            <w:r w:rsidRPr="00D86325">
              <w:rPr>
                <w:rFonts w:ascii="Verdana" w:hAnsi="Verdana" w:cs="Arial"/>
                <w:b/>
                <w:color w:val="000000" w:themeColor="text1"/>
              </w:rPr>
              <w:t>ANÁLISIS</w:t>
            </w:r>
            <w:r w:rsidRPr="00D86325">
              <w:rPr>
                <w:rFonts w:ascii="Verdana" w:hAnsi="Verdana" w:cs="Arial"/>
                <w:b/>
                <w:color w:val="000000" w:themeColor="text1"/>
                <w:lang w:val="es-CO"/>
              </w:rPr>
              <w:t xml:space="preserve"> JURÍDICO</w:t>
            </w:r>
          </w:p>
          <w:p w14:paraId="1814C9EE" w14:textId="77777777" w:rsidR="000D59A8" w:rsidRPr="00D86325" w:rsidRDefault="000D59A8" w:rsidP="00A35C22">
            <w:pPr>
              <w:spacing w:after="0" w:line="240" w:lineRule="auto"/>
              <w:rPr>
                <w:rFonts w:ascii="Verdana" w:hAnsi="Verdana" w:cs="Arial"/>
                <w:bCs/>
                <w:color w:val="000000" w:themeColor="text1"/>
                <w:lang w:val="es-CO"/>
              </w:rPr>
            </w:pPr>
          </w:p>
          <w:p w14:paraId="70937AC3" w14:textId="77777777" w:rsidR="000D59A8" w:rsidRPr="00D86325" w:rsidRDefault="000D59A8" w:rsidP="00D86325">
            <w:pPr>
              <w:pStyle w:val="Prrafodelista"/>
              <w:numPr>
                <w:ilvl w:val="1"/>
                <w:numId w:val="25"/>
              </w:numPr>
              <w:spacing w:after="0" w:line="240" w:lineRule="auto"/>
              <w:contextualSpacing w:val="0"/>
              <w:jc w:val="both"/>
              <w:rPr>
                <w:rFonts w:ascii="Verdana" w:hAnsi="Verdana" w:cs="Arial"/>
                <w:b/>
                <w:color w:val="000000" w:themeColor="text1"/>
              </w:rPr>
            </w:pPr>
            <w:r w:rsidRPr="00D86325">
              <w:rPr>
                <w:rFonts w:ascii="Verdana" w:hAnsi="Verdana" w:cs="Arial"/>
                <w:b/>
                <w:color w:val="000000" w:themeColor="text1"/>
              </w:rPr>
              <w:t>PROBLEMA JURÍDICO</w:t>
            </w:r>
          </w:p>
          <w:p w14:paraId="64D979BB" w14:textId="77777777" w:rsidR="000D59A8" w:rsidRPr="00D86325" w:rsidRDefault="000D59A8" w:rsidP="00A35C22">
            <w:pPr>
              <w:spacing w:after="0" w:line="240" w:lineRule="auto"/>
              <w:jc w:val="both"/>
              <w:rPr>
                <w:rFonts w:ascii="Verdana" w:hAnsi="Verdana" w:cs="Arial"/>
                <w:bCs/>
                <w:color w:val="000000" w:themeColor="text1"/>
                <w:lang w:val="es-CO"/>
              </w:rPr>
            </w:pPr>
          </w:p>
          <w:p w14:paraId="061FF48C" w14:textId="77777777" w:rsidR="000D59A8" w:rsidRPr="00D86325" w:rsidRDefault="000D59A8" w:rsidP="00A35C22">
            <w:pPr>
              <w:spacing w:after="0" w:line="240" w:lineRule="auto"/>
              <w:jc w:val="both"/>
              <w:rPr>
                <w:rFonts w:ascii="Verdana" w:hAnsi="Verdana" w:cs="Arial"/>
                <w:bCs/>
                <w:color w:val="000000" w:themeColor="text1"/>
                <w:lang w:val="es-CO"/>
              </w:rPr>
            </w:pPr>
            <w:r w:rsidRPr="00D86325">
              <w:rPr>
                <w:rFonts w:ascii="Verdana" w:hAnsi="Verdana" w:cs="Arial"/>
                <w:bCs/>
                <w:color w:val="000000" w:themeColor="text1"/>
                <w:lang w:val="es-CO"/>
              </w:rPr>
              <w:t>Teniendo en cuenta los fundamentos fácticos que reposan en la demanda, se plantea el siguiente problema jurídico:</w:t>
            </w:r>
          </w:p>
          <w:p w14:paraId="12F54AC5" w14:textId="77777777" w:rsidR="000D59A8" w:rsidRPr="00D86325" w:rsidRDefault="000D59A8" w:rsidP="00A35C22">
            <w:pPr>
              <w:spacing w:after="0" w:line="240" w:lineRule="auto"/>
              <w:jc w:val="both"/>
              <w:rPr>
                <w:rFonts w:ascii="Verdana" w:hAnsi="Verdana" w:cs="Arial"/>
                <w:bCs/>
                <w:i/>
                <w:iCs/>
                <w:color w:val="000000" w:themeColor="text1"/>
                <w:lang w:val="es-CO"/>
              </w:rPr>
            </w:pPr>
          </w:p>
          <w:p w14:paraId="3741E61C" w14:textId="664DC7CB" w:rsidR="00D76F84" w:rsidRDefault="00D86325" w:rsidP="00A35C22">
            <w:pPr>
              <w:spacing w:after="0" w:line="240" w:lineRule="auto"/>
              <w:jc w:val="both"/>
              <w:rPr>
                <w:rFonts w:ascii="Verdana" w:hAnsi="Verdana" w:cs="Arial"/>
                <w:bCs/>
                <w:i/>
                <w:iCs/>
                <w:color w:val="000000" w:themeColor="text1"/>
              </w:rPr>
            </w:pPr>
            <w:r w:rsidRPr="00D86325">
              <w:rPr>
                <w:rFonts w:ascii="Verdana" w:hAnsi="Verdana" w:cs="Arial"/>
                <w:bCs/>
                <w:i/>
                <w:iCs/>
                <w:color w:val="000000" w:themeColor="text1"/>
              </w:rPr>
              <w:t>¿Debe el Instituto Colombiano de Bienestar Familiar (ICBF) reconocer y pagar las sumas reclamadas por la demandante, con fundamento en una presunta solidaridad laboral, correspondientes a cesantías, intereses a las cesantías, primas, vacaciones, auxilio de transporte, aportes a seguridad social e indemnización moratoria, derivadas de la relación laboral que sostuvo con el operador para el cual trabajó entre el XXX y el XXX?</w:t>
            </w:r>
          </w:p>
          <w:p w14:paraId="6C2D2B3B" w14:textId="77777777" w:rsidR="00D86325" w:rsidRPr="00D86325" w:rsidRDefault="00D86325" w:rsidP="00A35C22">
            <w:pPr>
              <w:spacing w:after="0" w:line="240" w:lineRule="auto"/>
              <w:jc w:val="both"/>
              <w:rPr>
                <w:rFonts w:ascii="Verdana" w:hAnsi="Verdana" w:cs="Arial"/>
                <w:bCs/>
                <w:i/>
                <w:iCs/>
                <w:color w:val="000000" w:themeColor="text1"/>
                <w:lang w:val="es-CO"/>
              </w:rPr>
            </w:pPr>
          </w:p>
          <w:p w14:paraId="751162CC" w14:textId="77777777" w:rsidR="000D59A8" w:rsidRPr="00D86325" w:rsidRDefault="000D59A8" w:rsidP="00D86325">
            <w:pPr>
              <w:pStyle w:val="Prrafodelista"/>
              <w:numPr>
                <w:ilvl w:val="1"/>
                <w:numId w:val="25"/>
              </w:numPr>
              <w:spacing w:after="0" w:line="240" w:lineRule="auto"/>
              <w:contextualSpacing w:val="0"/>
              <w:jc w:val="both"/>
              <w:rPr>
                <w:rFonts w:ascii="Verdana" w:hAnsi="Verdana" w:cs="Arial"/>
                <w:b/>
                <w:color w:val="000000" w:themeColor="text1"/>
                <w:lang w:eastAsia="es-MX"/>
              </w:rPr>
            </w:pPr>
            <w:r w:rsidRPr="00D86325">
              <w:rPr>
                <w:rFonts w:ascii="Verdana" w:hAnsi="Verdana" w:cs="Arial"/>
                <w:b/>
                <w:color w:val="000000" w:themeColor="text1"/>
              </w:rPr>
              <w:t>ANÁLISIS</w:t>
            </w:r>
            <w:r w:rsidRPr="00D86325">
              <w:rPr>
                <w:rFonts w:ascii="Verdana" w:hAnsi="Verdana" w:cs="Arial"/>
                <w:b/>
                <w:color w:val="000000" w:themeColor="text1"/>
                <w:lang w:eastAsia="es-MX"/>
              </w:rPr>
              <w:t xml:space="preserve"> </w:t>
            </w:r>
            <w:r w:rsidRPr="00D86325">
              <w:rPr>
                <w:rFonts w:ascii="Verdana" w:eastAsia="Calibri" w:hAnsi="Verdana" w:cs="Arial"/>
                <w:b/>
                <w:color w:val="000000" w:themeColor="text1"/>
              </w:rPr>
              <w:t>JURÍDICO</w:t>
            </w:r>
            <w:r w:rsidRPr="00D86325">
              <w:rPr>
                <w:rFonts w:ascii="Verdana" w:hAnsi="Verdana" w:cs="Arial"/>
                <w:b/>
                <w:color w:val="000000" w:themeColor="text1"/>
                <w:lang w:eastAsia="es-MX"/>
              </w:rPr>
              <w:t xml:space="preserve"> DEL ICBF.</w:t>
            </w:r>
          </w:p>
          <w:p w14:paraId="370828B7" w14:textId="77777777" w:rsidR="000D59A8" w:rsidRPr="00D86325" w:rsidRDefault="000D59A8" w:rsidP="00A35C22">
            <w:pPr>
              <w:pStyle w:val="Prrafodelista"/>
              <w:spacing w:line="240" w:lineRule="auto"/>
              <w:ind w:left="1440"/>
              <w:jc w:val="both"/>
              <w:rPr>
                <w:rFonts w:ascii="Verdana" w:hAnsi="Verdana" w:cs="Arial"/>
                <w:bCs/>
                <w:color w:val="000000" w:themeColor="text1"/>
                <w:lang w:eastAsia="es-MX"/>
              </w:rPr>
            </w:pPr>
          </w:p>
          <w:p w14:paraId="54BB687F" w14:textId="77777777" w:rsidR="00D86325" w:rsidRDefault="00D86325" w:rsidP="00D86325">
            <w:pPr>
              <w:spacing w:after="0" w:line="240" w:lineRule="auto"/>
              <w:jc w:val="both"/>
              <w:rPr>
                <w:rFonts w:ascii="Verdana" w:eastAsia="Times New Roman" w:hAnsi="Verdana" w:cs="Arial"/>
                <w:bCs/>
                <w:color w:val="000000" w:themeColor="text1"/>
                <w:lang w:val="es-CO"/>
              </w:rPr>
            </w:pPr>
            <w:r w:rsidRPr="00D86325">
              <w:rPr>
                <w:rFonts w:ascii="Verdana" w:eastAsia="Times New Roman" w:hAnsi="Verdana" w:cs="Arial"/>
                <w:bCs/>
                <w:color w:val="000000" w:themeColor="text1"/>
                <w:lang w:val="es-CO"/>
              </w:rPr>
              <w:t>El Instituto Colombiano de Bienestar Familiar (ICBF) es un establecimiento público del orden nacional, adscrito al Departamento Administrativo para la Prosperidad Social, encargado de prestar el servicio público de Bienestar Familiar y de dirigir el Sistema Nacional de Bienestar Familiar.</w:t>
            </w:r>
          </w:p>
          <w:p w14:paraId="066715AB" w14:textId="77777777" w:rsidR="00D86325" w:rsidRPr="00D86325" w:rsidRDefault="00D86325" w:rsidP="00D86325">
            <w:pPr>
              <w:spacing w:after="0" w:line="240" w:lineRule="auto"/>
              <w:jc w:val="both"/>
              <w:rPr>
                <w:rFonts w:ascii="Verdana" w:eastAsia="Times New Roman" w:hAnsi="Verdana" w:cs="Arial"/>
                <w:bCs/>
                <w:color w:val="000000" w:themeColor="text1"/>
                <w:lang w:val="es-CO"/>
              </w:rPr>
            </w:pPr>
          </w:p>
          <w:p w14:paraId="34A4A315" w14:textId="77777777" w:rsidR="00D86325" w:rsidRDefault="00D86325" w:rsidP="00D86325">
            <w:pPr>
              <w:spacing w:after="0" w:line="240" w:lineRule="auto"/>
              <w:jc w:val="both"/>
              <w:rPr>
                <w:rFonts w:ascii="Verdana" w:eastAsia="Times New Roman" w:hAnsi="Verdana" w:cs="Arial"/>
                <w:bCs/>
                <w:color w:val="000000" w:themeColor="text1"/>
                <w:lang w:val="es-CO"/>
              </w:rPr>
            </w:pPr>
            <w:r w:rsidRPr="00D86325">
              <w:rPr>
                <w:rFonts w:ascii="Verdana" w:eastAsia="Times New Roman" w:hAnsi="Verdana" w:cs="Arial"/>
                <w:bCs/>
                <w:color w:val="000000" w:themeColor="text1"/>
                <w:lang w:val="es-CO"/>
              </w:rPr>
              <w:t>Entre sus funciones está brindar atención integral a niños y niñas para complementar temporalmente la protección familiar, principalmente mediante modalidades de atención a la primera infancia operadas por entidades que cumplan los requisitos legales.</w:t>
            </w:r>
          </w:p>
          <w:p w14:paraId="418A9859" w14:textId="77777777" w:rsidR="00D86325" w:rsidRPr="00D86325" w:rsidRDefault="00D86325" w:rsidP="00D86325">
            <w:pPr>
              <w:spacing w:after="0" w:line="240" w:lineRule="auto"/>
              <w:jc w:val="both"/>
              <w:rPr>
                <w:rFonts w:ascii="Verdana" w:eastAsia="Times New Roman" w:hAnsi="Verdana" w:cs="Arial"/>
                <w:bCs/>
                <w:color w:val="000000" w:themeColor="text1"/>
                <w:lang w:val="es-CO"/>
              </w:rPr>
            </w:pPr>
          </w:p>
          <w:p w14:paraId="2B113964" w14:textId="77777777" w:rsidR="00D86325" w:rsidRPr="00D86325" w:rsidRDefault="00D86325" w:rsidP="00D86325">
            <w:pPr>
              <w:spacing w:after="0" w:line="240" w:lineRule="auto"/>
              <w:jc w:val="both"/>
              <w:rPr>
                <w:rFonts w:ascii="Verdana" w:eastAsia="Times New Roman" w:hAnsi="Verdana" w:cs="Arial"/>
                <w:bCs/>
                <w:color w:val="000000" w:themeColor="text1"/>
                <w:lang w:val="es-CO"/>
              </w:rPr>
            </w:pPr>
            <w:r w:rsidRPr="00D86325">
              <w:rPr>
                <w:rFonts w:ascii="Verdana" w:eastAsia="Times New Roman" w:hAnsi="Verdana" w:cs="Arial"/>
                <w:bCs/>
                <w:color w:val="000000" w:themeColor="text1"/>
                <w:lang w:val="es-CO"/>
              </w:rPr>
              <w:t>Para desarrollar estos programas, el ICBF contrata generalmente con instituciones privadas sin ánimo de lucro, que reciben recursos exclusivamente a través de contratos estatales de aporte conforme a la normativa vigente.</w:t>
            </w:r>
          </w:p>
          <w:p w14:paraId="29B2978D" w14:textId="77777777" w:rsidR="000D59A8" w:rsidRPr="00D86325" w:rsidRDefault="000D59A8" w:rsidP="00A35C22">
            <w:pPr>
              <w:spacing w:after="0" w:line="240" w:lineRule="auto"/>
              <w:jc w:val="both"/>
              <w:rPr>
                <w:rFonts w:ascii="Verdana" w:eastAsia="Times New Roman" w:hAnsi="Verdana" w:cs="Arial"/>
                <w:bCs/>
                <w:color w:val="000000" w:themeColor="text1"/>
                <w:lang w:val="es-CO"/>
              </w:rPr>
            </w:pPr>
          </w:p>
          <w:p w14:paraId="6C45412E" w14:textId="77777777" w:rsidR="00D86325" w:rsidRDefault="00D86325" w:rsidP="00D86325">
            <w:pPr>
              <w:spacing w:after="0" w:line="240" w:lineRule="auto"/>
              <w:jc w:val="both"/>
              <w:rPr>
                <w:rFonts w:ascii="Verdana" w:eastAsia="Times New Roman" w:hAnsi="Verdana" w:cs="Arial"/>
                <w:bCs/>
                <w:color w:val="000000" w:themeColor="text1"/>
                <w:lang w:val="es-CO"/>
              </w:rPr>
            </w:pPr>
            <w:r w:rsidRPr="00D86325">
              <w:rPr>
                <w:rFonts w:ascii="Verdana" w:eastAsia="Times New Roman" w:hAnsi="Verdana" w:cs="Arial"/>
                <w:bCs/>
                <w:color w:val="000000" w:themeColor="text1"/>
                <w:lang w:val="es-CO"/>
              </w:rPr>
              <w:t>En atención al origen y manejo de los recursos, así como a la naturaleza de los contratos estatales de aporte, las relaciones laborales del personal vinculado a asociaciones, fundaciones o instituciones operadoras se establecen de manera directa con dichas entidades. Al ser organizaciones sin ánimo de lucro orientadas a fines de interés social, no generan utilidades ni reparten dividendos, por lo que no constituyen unidades de explotación económica.</w:t>
            </w:r>
          </w:p>
          <w:p w14:paraId="2859912D" w14:textId="77777777" w:rsidR="00D86325" w:rsidRPr="00D86325" w:rsidRDefault="00D86325" w:rsidP="00D86325">
            <w:pPr>
              <w:spacing w:after="0" w:line="240" w:lineRule="auto"/>
              <w:jc w:val="both"/>
              <w:rPr>
                <w:rFonts w:ascii="Verdana" w:eastAsia="Times New Roman" w:hAnsi="Verdana" w:cs="Arial"/>
                <w:bCs/>
                <w:color w:val="000000" w:themeColor="text1"/>
                <w:lang w:val="es-CO"/>
              </w:rPr>
            </w:pPr>
          </w:p>
          <w:p w14:paraId="37E2630B" w14:textId="77777777" w:rsidR="00D86325" w:rsidRPr="00D86325" w:rsidRDefault="00D86325" w:rsidP="00D86325">
            <w:pPr>
              <w:spacing w:after="0" w:line="240" w:lineRule="auto"/>
              <w:jc w:val="both"/>
              <w:rPr>
                <w:rFonts w:ascii="Verdana" w:eastAsia="Times New Roman" w:hAnsi="Verdana" w:cs="Arial"/>
                <w:bCs/>
                <w:color w:val="000000" w:themeColor="text1"/>
                <w:lang w:val="es-CO"/>
              </w:rPr>
            </w:pPr>
            <w:r w:rsidRPr="00D86325">
              <w:rPr>
                <w:rFonts w:ascii="Verdana" w:eastAsia="Times New Roman" w:hAnsi="Verdana" w:cs="Arial"/>
                <w:bCs/>
                <w:color w:val="000000" w:themeColor="text1"/>
                <w:lang w:val="es-CO"/>
              </w:rPr>
              <w:t>Estas entidades celebran de forma autónoma los contratos de trabajo con el personal que requieren para cumplir su objeto social y, en calidad de empleadoras, asumen plenamente las obligaciones previstas en la legislación laboral vigente.</w:t>
            </w:r>
          </w:p>
          <w:p w14:paraId="4106B95D" w14:textId="77777777" w:rsidR="000D59A8" w:rsidRDefault="000D59A8" w:rsidP="00A35C22">
            <w:pPr>
              <w:spacing w:after="0" w:line="240" w:lineRule="auto"/>
              <w:jc w:val="both"/>
              <w:rPr>
                <w:rFonts w:ascii="Verdana" w:eastAsia="Times New Roman" w:hAnsi="Verdana" w:cs="Arial"/>
                <w:bCs/>
                <w:color w:val="000000" w:themeColor="text1"/>
                <w:lang w:val="es-CO"/>
              </w:rPr>
            </w:pPr>
          </w:p>
          <w:p w14:paraId="4DCD64C8" w14:textId="77777777" w:rsidR="00D86325" w:rsidRPr="00D86325" w:rsidRDefault="00D86325" w:rsidP="00A35C22">
            <w:pPr>
              <w:spacing w:after="0" w:line="240" w:lineRule="auto"/>
              <w:jc w:val="both"/>
              <w:rPr>
                <w:rFonts w:ascii="Verdana" w:eastAsia="Times New Roman" w:hAnsi="Verdana" w:cs="Arial"/>
                <w:bCs/>
                <w:color w:val="000000" w:themeColor="text1"/>
                <w:lang w:val="es-CO"/>
              </w:rPr>
            </w:pPr>
          </w:p>
          <w:p w14:paraId="7AC883D4" w14:textId="2D46E48E" w:rsidR="000D59A8" w:rsidRPr="00D86325" w:rsidRDefault="000D59A8" w:rsidP="00A35C22">
            <w:pPr>
              <w:spacing w:after="0" w:line="240" w:lineRule="auto"/>
              <w:jc w:val="both"/>
              <w:rPr>
                <w:rFonts w:ascii="Verdana" w:hAnsi="Verdana" w:cs="Arial"/>
                <w:bCs/>
                <w:color w:val="000000" w:themeColor="text1"/>
                <w:lang w:val="es-CO"/>
              </w:rPr>
            </w:pPr>
            <w:r w:rsidRPr="00D86325">
              <w:rPr>
                <w:rFonts w:ascii="Verdana" w:eastAsia="Times New Roman" w:hAnsi="Verdana" w:cs="Arial"/>
                <w:bCs/>
                <w:color w:val="000000" w:themeColor="text1"/>
              </w:rPr>
              <w:lastRenderedPageBreak/>
              <w:t xml:space="preserve">En el caso en concreto dentro del contrato de aportes celebrado con la </w:t>
            </w:r>
            <w:r w:rsidR="0021584E" w:rsidRPr="00D86325">
              <w:rPr>
                <w:rFonts w:ascii="Verdana" w:eastAsiaTheme="minorHAnsi" w:hAnsi="Verdana" w:cs="Arial"/>
                <w:bCs/>
                <w:color w:val="000000" w:themeColor="text1"/>
                <w:lang w:val="es-CO"/>
              </w:rPr>
              <w:t xml:space="preserve">asociación de padres que estaba adscrita la </w:t>
            </w:r>
            <w:r w:rsidR="00354215" w:rsidRPr="00D86325">
              <w:rPr>
                <w:rFonts w:ascii="Verdana" w:eastAsiaTheme="minorHAnsi" w:hAnsi="Verdana" w:cs="Arial"/>
                <w:bCs/>
                <w:color w:val="000000" w:themeColor="text1"/>
                <w:lang w:val="es-CO"/>
              </w:rPr>
              <w:t>parte demandante</w:t>
            </w:r>
            <w:r w:rsidR="0021584E" w:rsidRPr="00D86325">
              <w:rPr>
                <w:rFonts w:ascii="Verdana" w:eastAsiaTheme="minorHAnsi" w:hAnsi="Verdana" w:cs="Arial"/>
                <w:bCs/>
                <w:color w:val="000000" w:themeColor="text1"/>
                <w:lang w:val="es-CO"/>
              </w:rPr>
              <w:t xml:space="preserve"> </w:t>
            </w:r>
            <w:r w:rsidRPr="00D86325">
              <w:rPr>
                <w:rFonts w:ascii="Verdana" w:hAnsi="Verdana" w:cs="Arial"/>
                <w:bCs/>
                <w:color w:val="000000" w:themeColor="text1"/>
                <w:lang w:val="es-CO"/>
              </w:rPr>
              <w:t xml:space="preserve">explícitamente se consignó que había una ausencia de relación laboral con el personal contratado por parte del operador en ejercicio de su autonomía: </w:t>
            </w:r>
          </w:p>
          <w:p w14:paraId="797644B0" w14:textId="77777777" w:rsidR="000D59A8" w:rsidRPr="00D86325" w:rsidRDefault="000D59A8" w:rsidP="00A35C22">
            <w:pPr>
              <w:spacing w:after="0" w:line="240" w:lineRule="auto"/>
              <w:jc w:val="both"/>
              <w:rPr>
                <w:rFonts w:ascii="Verdana" w:hAnsi="Verdana" w:cs="Arial"/>
                <w:bCs/>
                <w:color w:val="000000" w:themeColor="text1"/>
                <w:lang w:val="es-CO"/>
              </w:rPr>
            </w:pPr>
          </w:p>
          <w:p w14:paraId="49360AB3" w14:textId="77777777" w:rsidR="000D59A8" w:rsidRPr="00D86325" w:rsidRDefault="000D59A8" w:rsidP="00D86325">
            <w:pPr>
              <w:pStyle w:val="Default"/>
              <w:ind w:left="283" w:right="397"/>
              <w:jc w:val="both"/>
              <w:rPr>
                <w:rFonts w:ascii="Verdana" w:hAnsi="Verdana" w:cs="Arial"/>
                <w:bCs/>
                <w:color w:val="000000" w:themeColor="text1"/>
                <w:sz w:val="22"/>
                <w:szCs w:val="22"/>
              </w:rPr>
            </w:pPr>
            <w:r w:rsidRPr="00D86325">
              <w:rPr>
                <w:rFonts w:ascii="Verdana" w:hAnsi="Verdana" w:cs="Arial"/>
                <w:bCs/>
                <w:i/>
                <w:iCs/>
                <w:color w:val="000000" w:themeColor="text1"/>
                <w:sz w:val="22"/>
                <w:szCs w:val="22"/>
              </w:rPr>
              <w:t xml:space="preserve">“El presente contrato no genera vínculo laboral alguno entre el personal de la EAS o sus dependientes o subcontratistas con el ICBF; sus derechos se limitarán de acuerdo con la naturaleza del contrato a cumplir cabalmente las obligaciones derivadas del mismo en su calidad de gerente integral del proyecto y a exigir las que correspondan al ICBF, teniendo en cuenta que los compromisos y obligaciones adquiridos por la EAS son independientes y diferentes de las actividades que desarrolla el ICBF. El personal que emplee para la ejecución del contrato tendría la vinculación correspondiente con la EAS y por ninguna causa generará con el ICBF relación laboral o contractual alguna. Si por cualquier razón dicho personal, ya sean sus trabajadores o los de sus subcontratistas, demandan al ICBF, la EAS se compromete a pagar las condenas, los costos, los gastos y las costas del proceso, para lo cual autoriza expresamente al ICBF desde ya, para que contrate los abogados y demás personal que necesite para su defensa, previo aviso y acuerdo con la EAS (…)”. </w:t>
            </w:r>
            <w:r w:rsidRPr="00D86325">
              <w:rPr>
                <w:rFonts w:ascii="Verdana" w:hAnsi="Verdana" w:cs="Arial"/>
                <w:bCs/>
                <w:color w:val="000000" w:themeColor="text1"/>
                <w:sz w:val="22"/>
                <w:szCs w:val="22"/>
              </w:rPr>
              <w:t xml:space="preserve">(Se resalta). </w:t>
            </w:r>
          </w:p>
          <w:p w14:paraId="39454B1F" w14:textId="77777777" w:rsidR="000D59A8" w:rsidRPr="00D86325" w:rsidRDefault="000D59A8" w:rsidP="00A35C22">
            <w:pPr>
              <w:spacing w:after="0" w:line="240" w:lineRule="auto"/>
              <w:jc w:val="both"/>
              <w:rPr>
                <w:rFonts w:ascii="Verdana" w:eastAsia="Times New Roman" w:hAnsi="Verdana" w:cs="Arial"/>
                <w:bCs/>
                <w:color w:val="000000" w:themeColor="text1"/>
                <w:lang w:val="es-CO"/>
              </w:rPr>
            </w:pPr>
          </w:p>
          <w:p w14:paraId="061B6BA3" w14:textId="647FA817" w:rsidR="00354215" w:rsidRPr="00D86325" w:rsidRDefault="000D59A8" w:rsidP="00A35C22">
            <w:pPr>
              <w:spacing w:line="240" w:lineRule="auto"/>
              <w:ind w:right="-2"/>
              <w:jc w:val="both"/>
              <w:rPr>
                <w:rFonts w:ascii="Verdana" w:eastAsia="Times New Roman" w:hAnsi="Verdana" w:cs="Arial"/>
                <w:bCs/>
                <w:color w:val="000000" w:themeColor="text1"/>
              </w:rPr>
            </w:pPr>
            <w:r w:rsidRPr="00D86325">
              <w:rPr>
                <w:rFonts w:ascii="Verdana" w:eastAsia="Times New Roman" w:hAnsi="Verdana" w:cs="Arial"/>
                <w:bCs/>
                <w:color w:val="000000" w:themeColor="text1"/>
              </w:rPr>
              <w:t xml:space="preserve">Se hace claridad que en los contratos de aporte que suscribe el ICBF con las entidades sin ánimo de lucro, como es el caso del contrato suscrito con la </w:t>
            </w:r>
            <w:r w:rsidR="0021584E" w:rsidRPr="00D86325">
              <w:rPr>
                <w:rFonts w:ascii="Verdana" w:eastAsiaTheme="minorHAnsi" w:hAnsi="Verdana" w:cs="Arial"/>
                <w:bCs/>
                <w:color w:val="000000" w:themeColor="text1"/>
                <w:lang w:val="es-CO"/>
              </w:rPr>
              <w:t xml:space="preserve">asociación de padres que estaba adscrita la </w:t>
            </w:r>
            <w:r w:rsidR="00354215" w:rsidRPr="00D86325">
              <w:rPr>
                <w:rFonts w:ascii="Verdana" w:eastAsiaTheme="minorHAnsi" w:hAnsi="Verdana" w:cs="Arial"/>
                <w:bCs/>
                <w:color w:val="000000" w:themeColor="text1"/>
                <w:lang w:val="es-CO"/>
              </w:rPr>
              <w:t>demandante</w:t>
            </w:r>
            <w:r w:rsidRPr="00D86325">
              <w:rPr>
                <w:rFonts w:ascii="Verdana" w:eastAsia="Times New Roman" w:hAnsi="Verdana" w:cs="Arial"/>
                <w:bCs/>
                <w:color w:val="000000" w:themeColor="text1"/>
              </w:rPr>
              <w:t>, infiere la no existencia de ánimo de lucro, toda vez que el aporte no entra al patrimonio del contratista, los dineros que se entregan tienen una destinación específica, como es la prestación total o parcial de un servicio.</w:t>
            </w:r>
          </w:p>
          <w:p w14:paraId="5E378BCC" w14:textId="64FCF74C" w:rsidR="000D59A8" w:rsidRPr="00D86325" w:rsidRDefault="000D59A8" w:rsidP="00A35C22">
            <w:pPr>
              <w:spacing w:line="240" w:lineRule="auto"/>
              <w:ind w:right="-2"/>
              <w:jc w:val="both"/>
              <w:rPr>
                <w:rFonts w:ascii="Verdana" w:eastAsia="Times New Roman" w:hAnsi="Verdana" w:cs="Arial"/>
                <w:bCs/>
                <w:color w:val="000000" w:themeColor="text1"/>
              </w:rPr>
            </w:pPr>
            <w:r w:rsidRPr="00D86325">
              <w:rPr>
                <w:rFonts w:ascii="Verdana" w:eastAsia="Times New Roman" w:hAnsi="Verdana" w:cs="Arial"/>
                <w:bCs/>
                <w:color w:val="000000" w:themeColor="text1"/>
              </w:rPr>
              <w:t xml:space="preserve">Aquí entonces el destinatario del servicio no es otro que la misma Comunidad que se beneficia de los programas, para el caso en concreto los beneficiarios con la modalidad contratadas </w:t>
            </w:r>
            <w:r w:rsidRPr="00D86325">
              <w:rPr>
                <w:rFonts w:ascii="Verdana" w:eastAsiaTheme="minorHAnsi" w:hAnsi="Verdana" w:cs="Arial"/>
                <w:bCs/>
                <w:color w:val="000000" w:themeColor="text1"/>
                <w:lang w:val="es-CO"/>
              </w:rPr>
              <w:t xml:space="preserve">con </w:t>
            </w:r>
            <w:r w:rsidR="0021584E" w:rsidRPr="00D86325">
              <w:rPr>
                <w:rFonts w:ascii="Verdana" w:eastAsiaTheme="minorHAnsi" w:hAnsi="Verdana" w:cs="Arial"/>
                <w:bCs/>
                <w:color w:val="000000" w:themeColor="text1"/>
                <w:lang w:val="es-CO"/>
              </w:rPr>
              <w:t xml:space="preserve">este tipo de organizaciones. </w:t>
            </w:r>
          </w:p>
          <w:p w14:paraId="13FAF37E" w14:textId="77777777" w:rsidR="000D59A8" w:rsidRPr="00D86325" w:rsidRDefault="000D59A8" w:rsidP="00A35C22">
            <w:pPr>
              <w:spacing w:line="240" w:lineRule="auto"/>
              <w:ind w:right="-2"/>
              <w:jc w:val="both"/>
              <w:rPr>
                <w:rFonts w:ascii="Verdana" w:eastAsia="Times New Roman" w:hAnsi="Verdana" w:cs="Arial"/>
                <w:bCs/>
                <w:color w:val="000000" w:themeColor="text1"/>
              </w:rPr>
            </w:pPr>
            <w:r w:rsidRPr="00D86325">
              <w:rPr>
                <w:rFonts w:ascii="Verdana" w:eastAsia="Times New Roman" w:hAnsi="Verdana" w:cs="Arial"/>
                <w:bCs/>
                <w:color w:val="000000" w:themeColor="text1"/>
              </w:rPr>
              <w:t>En todo caso, no es posible predicar solidaridad entre INSTITUTO COLOMBIANO DE BIENESTAR FAMILIAR y el operador con el que se suscribió contrato de aportes, para el pago de salarios, prestaciones sociales, aportes a seguridad social y demás por el personal a su cargo.</w:t>
            </w:r>
          </w:p>
          <w:p w14:paraId="1D5BEF35" w14:textId="10553234" w:rsidR="000D59A8" w:rsidRPr="00D86325" w:rsidRDefault="000D59A8" w:rsidP="00A35C22">
            <w:pPr>
              <w:spacing w:line="240" w:lineRule="auto"/>
              <w:ind w:right="-2"/>
              <w:jc w:val="both"/>
              <w:rPr>
                <w:rFonts w:ascii="Verdana" w:eastAsia="Times New Roman" w:hAnsi="Verdana" w:cs="Arial"/>
                <w:bCs/>
                <w:color w:val="000000" w:themeColor="text1"/>
              </w:rPr>
            </w:pPr>
            <w:r w:rsidRPr="00D86325">
              <w:rPr>
                <w:rFonts w:ascii="Verdana" w:eastAsia="Times New Roman" w:hAnsi="Verdana" w:cs="Arial"/>
                <w:bCs/>
                <w:color w:val="000000" w:themeColor="text1"/>
              </w:rPr>
              <w:t xml:space="preserve">Jurisprudencialmente ha existido pronunciamientos donde se deja en claro la carencia de solidaridad entre el ICBF y los operadores, atendiendo el objeto de la Entidad Estatal que suscribe el contrato de aportes. Sobre el particular, la Oficina </w:t>
            </w:r>
            <w:r w:rsidR="003F5804">
              <w:rPr>
                <w:rFonts w:ascii="Verdana" w:eastAsia="Times New Roman" w:hAnsi="Verdana" w:cs="Arial"/>
                <w:bCs/>
                <w:color w:val="000000" w:themeColor="text1"/>
              </w:rPr>
              <w:t>J</w:t>
            </w:r>
            <w:r w:rsidRPr="00D86325">
              <w:rPr>
                <w:rFonts w:ascii="Verdana" w:eastAsia="Times New Roman" w:hAnsi="Verdana" w:cs="Arial"/>
                <w:bCs/>
                <w:color w:val="000000" w:themeColor="text1"/>
              </w:rPr>
              <w:t>urídica comunicó a los apoderados decisiones en este sentido así:</w:t>
            </w:r>
          </w:p>
          <w:p w14:paraId="6AF49433" w14:textId="77777777" w:rsidR="000D59A8" w:rsidRPr="00D86325" w:rsidRDefault="000D59A8" w:rsidP="00A35C22">
            <w:pPr>
              <w:spacing w:line="240" w:lineRule="auto"/>
              <w:ind w:right="-2"/>
              <w:jc w:val="both"/>
              <w:rPr>
                <w:rFonts w:ascii="Verdana" w:eastAsia="Times New Roman" w:hAnsi="Verdana" w:cs="Arial"/>
                <w:bCs/>
                <w:i/>
                <w:color w:val="000000" w:themeColor="text1"/>
              </w:rPr>
            </w:pPr>
            <w:r w:rsidRPr="00D86325">
              <w:rPr>
                <w:rFonts w:ascii="Verdana" w:eastAsia="Times New Roman" w:hAnsi="Verdana" w:cs="Arial"/>
                <w:bCs/>
                <w:i/>
                <w:color w:val="000000" w:themeColor="text1"/>
              </w:rPr>
              <w:t>“(…)</w:t>
            </w:r>
          </w:p>
          <w:p w14:paraId="43E66176" w14:textId="77777777" w:rsidR="000D59A8" w:rsidRPr="00D86325" w:rsidRDefault="000D59A8" w:rsidP="00D86325">
            <w:pPr>
              <w:numPr>
                <w:ilvl w:val="0"/>
                <w:numId w:val="25"/>
              </w:numPr>
              <w:spacing w:after="0" w:line="240" w:lineRule="auto"/>
              <w:jc w:val="both"/>
              <w:rPr>
                <w:rFonts w:ascii="Verdana" w:hAnsi="Verdana" w:cs="Arial"/>
                <w:bCs/>
                <w:i/>
                <w:color w:val="000000" w:themeColor="text1"/>
                <w:lang w:val="es-CO"/>
              </w:rPr>
            </w:pPr>
            <w:r w:rsidRPr="00D86325">
              <w:rPr>
                <w:rFonts w:ascii="Verdana" w:hAnsi="Verdana" w:cs="Arial"/>
                <w:bCs/>
                <w:i/>
                <w:color w:val="000000" w:themeColor="text1"/>
                <w:lang w:val="es-CO"/>
              </w:rPr>
              <w:t>Improcedencia de la solidaridad laboral en la ejecución del Sistema Nacional de Bienestar Familiar</w:t>
            </w:r>
          </w:p>
          <w:p w14:paraId="7835CC4C" w14:textId="77777777" w:rsidR="000D59A8" w:rsidRPr="00D86325" w:rsidRDefault="000D59A8" w:rsidP="00A35C22">
            <w:pPr>
              <w:spacing w:after="0" w:line="240" w:lineRule="auto"/>
              <w:ind w:left="720"/>
              <w:jc w:val="both"/>
              <w:rPr>
                <w:rFonts w:ascii="Verdana" w:hAnsi="Verdana" w:cs="Arial"/>
                <w:bCs/>
                <w:i/>
                <w:color w:val="000000" w:themeColor="text1"/>
                <w:lang w:val="es-CO"/>
              </w:rPr>
            </w:pPr>
          </w:p>
          <w:p w14:paraId="42EB770C" w14:textId="77777777" w:rsidR="000D59A8" w:rsidRPr="00D86325" w:rsidRDefault="000D59A8" w:rsidP="00A35C22">
            <w:pPr>
              <w:spacing w:after="0" w:line="240" w:lineRule="auto"/>
              <w:jc w:val="both"/>
              <w:rPr>
                <w:rFonts w:ascii="Verdana" w:hAnsi="Verdana" w:cs="Arial"/>
                <w:bCs/>
                <w:i/>
                <w:color w:val="000000" w:themeColor="text1"/>
                <w:lang w:val="es-ES_tradnl"/>
              </w:rPr>
            </w:pPr>
            <w:r w:rsidRPr="00D86325">
              <w:rPr>
                <w:rFonts w:ascii="Verdana" w:eastAsia="Times New Roman" w:hAnsi="Verdana" w:cs="Arial"/>
                <w:bCs/>
                <w:i/>
                <w:color w:val="000000" w:themeColor="text1"/>
                <w:lang w:val="es-ES_tradnl" w:eastAsia="es-CO"/>
              </w:rPr>
              <w:t xml:space="preserve">En el escrito de tutela se desconoce que, </w:t>
            </w:r>
            <w:r w:rsidRPr="00D86325">
              <w:rPr>
                <w:rFonts w:ascii="Verdana" w:hAnsi="Verdana" w:cs="Arial"/>
                <w:bCs/>
                <w:i/>
                <w:color w:val="000000" w:themeColor="text1"/>
                <w:lang w:val="es-ES_tradnl"/>
              </w:rPr>
              <w:t>Desde la reforma constitucional de 1945 el ordenamiento jurídico colombiano acepta la posibilidad de que los particulares (personas naturales o jurídicas</w:t>
            </w:r>
            <w:r w:rsidRPr="00D86325">
              <w:rPr>
                <w:rFonts w:ascii="Verdana" w:hAnsi="Verdana" w:cs="Arial"/>
                <w:bCs/>
                <w:i/>
                <w:color w:val="000000" w:themeColor="text1"/>
                <w:vertAlign w:val="superscript"/>
                <w:lang w:val="es-ES_tradnl"/>
              </w:rPr>
              <w:footnoteReference w:id="1"/>
            </w:r>
            <w:r w:rsidRPr="00D86325">
              <w:rPr>
                <w:rFonts w:ascii="Verdana" w:hAnsi="Verdana" w:cs="Arial"/>
                <w:bCs/>
                <w:i/>
                <w:color w:val="000000" w:themeColor="text1"/>
                <w:lang w:val="es-ES_tradnl"/>
              </w:rPr>
              <w:t>) realicen funciones públicas o administrativas que antes eran de competencia del Estado.</w:t>
            </w:r>
          </w:p>
          <w:p w14:paraId="5E42CF84" w14:textId="77777777" w:rsidR="000D59A8" w:rsidRPr="00D86325" w:rsidRDefault="000D59A8" w:rsidP="00A35C22">
            <w:pPr>
              <w:spacing w:after="0" w:line="240" w:lineRule="auto"/>
              <w:jc w:val="both"/>
              <w:rPr>
                <w:rFonts w:ascii="Verdana" w:hAnsi="Verdana" w:cs="Arial"/>
                <w:bCs/>
                <w:i/>
                <w:color w:val="000000" w:themeColor="text1"/>
                <w:lang w:val="es-ES_tradnl"/>
              </w:rPr>
            </w:pPr>
          </w:p>
          <w:p w14:paraId="441FD1B8" w14:textId="77777777" w:rsidR="000D59A8" w:rsidRPr="00D86325" w:rsidRDefault="000D59A8" w:rsidP="00A35C22">
            <w:pPr>
              <w:spacing w:after="0" w:line="240" w:lineRule="auto"/>
              <w:jc w:val="both"/>
              <w:rPr>
                <w:rFonts w:ascii="Verdana" w:hAnsi="Verdana" w:cs="Arial"/>
                <w:bCs/>
                <w:i/>
                <w:color w:val="000000" w:themeColor="text1"/>
                <w:lang w:val="es-ES_tradnl"/>
              </w:rPr>
            </w:pPr>
            <w:r w:rsidRPr="00D86325">
              <w:rPr>
                <w:rFonts w:ascii="Verdana" w:hAnsi="Verdana" w:cs="Arial"/>
                <w:bCs/>
                <w:i/>
                <w:color w:val="000000" w:themeColor="text1"/>
                <w:lang w:val="es-ES_tradnl"/>
              </w:rPr>
              <w:t xml:space="preserve">Así las cosas, precisamos que el ICBF no es el beneficiario de las actividades que ejecutan los particulares en el Sistema Nacional de Bienestar Familiar, en efecto, el beneficiario es la comunidad y por ello, la Constitución Política de 1991 prevé </w:t>
            </w:r>
            <w:r w:rsidRPr="00D86325">
              <w:rPr>
                <w:rFonts w:ascii="Verdana" w:eastAsia="Arial Unicode MS" w:hAnsi="Verdana" w:cs="Arial"/>
                <w:bCs/>
                <w:i/>
                <w:color w:val="000000" w:themeColor="text1"/>
                <w:lang w:val="es-ES_tradnl" w:eastAsia="es-ES"/>
              </w:rPr>
              <w:t>en</w:t>
            </w:r>
            <w:r w:rsidRPr="00D86325">
              <w:rPr>
                <w:rFonts w:ascii="Verdana" w:hAnsi="Verdana" w:cs="Arial"/>
                <w:bCs/>
                <w:i/>
                <w:color w:val="000000" w:themeColor="text1"/>
                <w:lang w:val="es-ES_tradnl"/>
              </w:rPr>
              <w:t xml:space="preserve"> el artículo 123, que: “(…) La ley determinará el régimen aplicable a los particulares que temporalmente desempeñen funciones públicas y regulará su ejercicio. (…)”; en la misma línea el artículo 210 superior indica: “(…) Los particulares pueden cumplir funciones administrativas en las </w:t>
            </w:r>
            <w:r w:rsidRPr="00D86325">
              <w:rPr>
                <w:rFonts w:ascii="Verdana" w:hAnsi="Verdana" w:cs="Arial"/>
                <w:bCs/>
                <w:i/>
                <w:color w:val="000000" w:themeColor="text1"/>
                <w:lang w:val="es-ES_tradnl"/>
              </w:rPr>
              <w:lastRenderedPageBreak/>
              <w:t>condiciones que señale la ley. (…)” y finalmente, el artículo 365 referente a la prestación de los servicios públicos, prescribe: “(…) Los servicios públicos estarán sometidos al régimen jurídico que fije la ley, podrán ser prestados por el Estado, directa o indirectamente, por comunidades organizadas, o por particulares. (…)”.</w:t>
            </w:r>
          </w:p>
          <w:p w14:paraId="13BD66B9" w14:textId="77777777" w:rsidR="000D59A8" w:rsidRPr="00D86325" w:rsidRDefault="000D59A8" w:rsidP="00A35C22">
            <w:pPr>
              <w:spacing w:after="0" w:line="240" w:lineRule="auto"/>
              <w:jc w:val="both"/>
              <w:rPr>
                <w:rFonts w:ascii="Verdana" w:hAnsi="Verdana" w:cs="Arial"/>
                <w:bCs/>
                <w:i/>
                <w:color w:val="000000" w:themeColor="text1"/>
                <w:lang w:val="es-ES_tradnl"/>
              </w:rPr>
            </w:pPr>
          </w:p>
          <w:p w14:paraId="641A89BE" w14:textId="77777777" w:rsidR="000D59A8" w:rsidRPr="00D86325" w:rsidRDefault="000D59A8" w:rsidP="00A35C22">
            <w:pPr>
              <w:spacing w:after="0" w:line="240" w:lineRule="auto"/>
              <w:jc w:val="both"/>
              <w:rPr>
                <w:rFonts w:ascii="Verdana" w:eastAsia="Times New Roman" w:hAnsi="Verdana" w:cs="Arial"/>
                <w:bCs/>
                <w:i/>
                <w:color w:val="000000" w:themeColor="text1"/>
                <w:lang w:val="es-CO" w:eastAsia="es-CO"/>
              </w:rPr>
            </w:pPr>
            <w:r w:rsidRPr="00D86325">
              <w:rPr>
                <w:rFonts w:ascii="Verdana" w:eastAsia="Times New Roman" w:hAnsi="Verdana" w:cs="Arial"/>
                <w:bCs/>
                <w:i/>
                <w:color w:val="000000" w:themeColor="text1"/>
                <w:lang w:eastAsia="es-ES"/>
              </w:rPr>
              <w:t xml:space="preserve">Las reglas fijadas por el constituyente han sido ampliamente interpretadas por la Corte Constitucional, la cual señalo que los particulares asumen obligaciones en la ejecución de servicios públicos, por ejemplo, en la Sentencia C-644 de 2011, se determinó: </w:t>
            </w:r>
            <w:r w:rsidRPr="00D86325">
              <w:rPr>
                <w:rFonts w:ascii="Verdana" w:eastAsia="Times New Roman" w:hAnsi="Verdana" w:cs="Arial"/>
                <w:bCs/>
                <w:i/>
                <w:color w:val="000000" w:themeColor="text1"/>
                <w:lang w:val="es-CO" w:eastAsia="es-CO"/>
              </w:rPr>
              <w:t>“</w:t>
            </w:r>
            <w:r w:rsidRPr="00D86325">
              <w:rPr>
                <w:rFonts w:ascii="Verdana" w:eastAsia="Times New Roman" w:hAnsi="Verdana" w:cs="Arial"/>
                <w:bCs/>
                <w:i/>
                <w:color w:val="000000" w:themeColor="text1"/>
                <w:lang w:val="es-ES_tradnl" w:eastAsia="es-ES"/>
              </w:rPr>
              <w:t xml:space="preserve">(…) </w:t>
            </w:r>
            <w:r w:rsidRPr="00D86325">
              <w:rPr>
                <w:rFonts w:ascii="Verdana" w:eastAsia="Times New Roman" w:hAnsi="Verdana" w:cs="Arial"/>
                <w:bCs/>
                <w:i/>
                <w:color w:val="000000" w:themeColor="text1"/>
                <w:lang w:val="es-CO" w:eastAsia="es-CO"/>
              </w:rPr>
              <w:t>De otra parte, la responsabilidad en el cumplimiento de los fines del Estado no corresponde solamente a los servidores públicos en el Estado social de derecho. Los particulares asumen en él una serie de obligaciones y de tareas que antes cumplían de manera exclusiva y en ocasiones excluyente las autoridades estatales. Así, la Carta señala que sectores tan importantes como la salud (C. Po. art. 49), la seguridad social (C. Po. art. 48), la educación (C. Po. art. 67), la ciencia y la tecnología (C. Po. art. 71), la protección especial de las personas de la tercera edad (C. Po. art. 46), de los niños (C. Po. art. 44) y de los discapacitados (C. Po. art. 47), no son responsabilidad única del Estado, sino que la familia, la sociedad y los propios interesados deben también contribuir a su amparo y desarrollo.</w:t>
            </w:r>
            <w:r w:rsidRPr="00D86325">
              <w:rPr>
                <w:rFonts w:ascii="Verdana" w:eastAsia="Times New Roman" w:hAnsi="Verdana" w:cs="Arial"/>
                <w:bCs/>
                <w:i/>
                <w:color w:val="000000" w:themeColor="text1"/>
                <w:lang w:val="es-ES_tradnl" w:eastAsia="es-ES"/>
              </w:rPr>
              <w:t xml:space="preserve"> (…)</w:t>
            </w:r>
            <w:r w:rsidRPr="00D86325">
              <w:rPr>
                <w:rFonts w:ascii="Verdana" w:eastAsia="Times New Roman" w:hAnsi="Verdana" w:cs="Arial"/>
                <w:bCs/>
                <w:i/>
                <w:color w:val="000000" w:themeColor="text1"/>
                <w:lang w:val="es-CO" w:eastAsia="es-CO"/>
              </w:rPr>
              <w:t xml:space="preserve">” </w:t>
            </w:r>
            <w:r w:rsidRPr="00D86325">
              <w:rPr>
                <w:rFonts w:ascii="Verdana" w:eastAsia="Times New Roman" w:hAnsi="Verdana" w:cs="Arial"/>
                <w:bCs/>
                <w:i/>
                <w:color w:val="000000" w:themeColor="text1"/>
                <w:lang w:eastAsia="es-ES"/>
              </w:rPr>
              <w:t>Negrilla fuera de texto</w:t>
            </w:r>
          </w:p>
          <w:p w14:paraId="69232340" w14:textId="77777777" w:rsidR="000D59A8" w:rsidRPr="00D86325" w:rsidRDefault="000D59A8" w:rsidP="00A35C22">
            <w:pPr>
              <w:spacing w:after="0" w:line="240" w:lineRule="auto"/>
              <w:jc w:val="both"/>
              <w:rPr>
                <w:rFonts w:ascii="Verdana" w:eastAsia="Times New Roman" w:hAnsi="Verdana" w:cs="Arial"/>
                <w:bCs/>
                <w:i/>
                <w:color w:val="000000" w:themeColor="text1"/>
                <w:lang w:val="es-ES_tradnl" w:eastAsia="es-ES"/>
              </w:rPr>
            </w:pPr>
          </w:p>
          <w:p w14:paraId="040C374E" w14:textId="77777777" w:rsidR="000D59A8" w:rsidRPr="00D86325" w:rsidRDefault="000D59A8" w:rsidP="00A35C22">
            <w:pPr>
              <w:spacing w:after="0" w:line="240" w:lineRule="auto"/>
              <w:jc w:val="both"/>
              <w:rPr>
                <w:rFonts w:ascii="Verdana" w:eastAsia="Times New Roman" w:hAnsi="Verdana" w:cs="Arial"/>
                <w:bCs/>
                <w:i/>
                <w:color w:val="000000" w:themeColor="text1"/>
                <w:lang w:eastAsia="es-ES"/>
              </w:rPr>
            </w:pPr>
            <w:r w:rsidRPr="00D86325">
              <w:rPr>
                <w:rFonts w:ascii="Verdana" w:eastAsia="Times New Roman" w:hAnsi="Verdana" w:cs="Arial"/>
                <w:bCs/>
                <w:iCs/>
                <w:color w:val="000000" w:themeColor="text1"/>
                <w:lang w:val="es-ES_tradnl" w:eastAsia="es-ES"/>
              </w:rPr>
              <w:t xml:space="preserve">Ahora bien, es preciso advertir que la Corte Constitucional ha instituido de forma clara y expresa </w:t>
            </w:r>
            <w:r w:rsidRPr="00D86325">
              <w:rPr>
                <w:rFonts w:ascii="Verdana" w:eastAsia="Times New Roman" w:hAnsi="Verdana" w:cs="Arial"/>
                <w:bCs/>
                <w:iCs/>
                <w:color w:val="000000" w:themeColor="text1"/>
                <w:lang w:eastAsia="es-ES"/>
              </w:rPr>
              <w:t>que asignar a los particulares el ejercicio de funciones públicas, no modifica su estatus de particulares, ni los convierte por ese hecho en servidores públicos</w:t>
            </w:r>
            <w:r w:rsidRPr="00D86325">
              <w:rPr>
                <w:rFonts w:ascii="Verdana" w:eastAsia="Times New Roman" w:hAnsi="Verdana" w:cs="Arial"/>
                <w:bCs/>
                <w:iCs/>
                <w:color w:val="000000" w:themeColor="text1"/>
                <w:vertAlign w:val="superscript"/>
                <w:lang w:eastAsia="es-ES"/>
              </w:rPr>
              <w:footnoteReference w:id="2"/>
            </w:r>
            <w:r w:rsidRPr="00D86325">
              <w:rPr>
                <w:rFonts w:ascii="Verdana" w:eastAsia="Times New Roman" w:hAnsi="Verdana" w:cs="Arial"/>
                <w:bCs/>
                <w:iCs/>
                <w:color w:val="000000" w:themeColor="text1"/>
                <w:lang w:eastAsia="es-ES"/>
              </w:rPr>
              <w:t>, dicha postura ha sido pacífica y reiterada</w:t>
            </w:r>
            <w:r w:rsidRPr="00D86325">
              <w:rPr>
                <w:rFonts w:ascii="Verdana" w:eastAsia="Times New Roman" w:hAnsi="Verdana" w:cs="Arial"/>
                <w:bCs/>
                <w:i/>
                <w:color w:val="000000" w:themeColor="text1"/>
                <w:lang w:eastAsia="es-ES"/>
              </w:rPr>
              <w:t xml:space="preserve">: </w:t>
            </w:r>
            <w:r w:rsidRPr="00D86325">
              <w:rPr>
                <w:rFonts w:ascii="Verdana" w:eastAsia="Times New Roman" w:hAnsi="Verdana" w:cs="Arial"/>
                <w:bCs/>
                <w:i/>
                <w:color w:val="000000" w:themeColor="text1"/>
                <w:lang w:val="es-ES_tradnl" w:eastAsia="es-ES"/>
              </w:rPr>
              <w:t>“(…) sin desconocer la libertad de las personas en su iniciativa y en sus actividades económicas y laborales, la Constitución haya previsto formas de vinculación de los particulares a la gestión de intereses y asuntos públicos sin que en virtud de ella pierdan su condición privada (…)”.</w:t>
            </w:r>
            <w:r w:rsidRPr="00D86325">
              <w:rPr>
                <w:rFonts w:ascii="Verdana" w:eastAsia="Times New Roman" w:hAnsi="Verdana" w:cs="Arial"/>
                <w:bCs/>
                <w:i/>
                <w:color w:val="000000" w:themeColor="text1"/>
                <w:vertAlign w:val="superscript"/>
                <w:lang w:val="es-ES_tradnl" w:eastAsia="es-ES"/>
              </w:rPr>
              <w:footnoteReference w:id="3"/>
            </w:r>
            <w:r w:rsidRPr="00D86325">
              <w:rPr>
                <w:rFonts w:ascii="Verdana" w:eastAsia="Times New Roman" w:hAnsi="Verdana" w:cs="Arial"/>
                <w:bCs/>
                <w:i/>
                <w:color w:val="000000" w:themeColor="text1"/>
                <w:lang w:val="es-ES_tradnl" w:eastAsia="es-ES"/>
              </w:rPr>
              <w:t xml:space="preserve"> </w:t>
            </w:r>
            <w:r w:rsidRPr="00D86325">
              <w:rPr>
                <w:rFonts w:ascii="Verdana" w:eastAsia="Times New Roman" w:hAnsi="Verdana" w:cs="Arial"/>
                <w:bCs/>
                <w:i/>
                <w:color w:val="000000" w:themeColor="text1"/>
                <w:lang w:eastAsia="es-ES"/>
              </w:rPr>
              <w:t xml:space="preserve">Negrilla fuera de texto  </w:t>
            </w:r>
          </w:p>
          <w:p w14:paraId="63B251C6" w14:textId="77777777" w:rsidR="000D59A8" w:rsidRPr="00D86325" w:rsidRDefault="000D59A8" w:rsidP="00A35C22">
            <w:pPr>
              <w:spacing w:after="0" w:line="240" w:lineRule="auto"/>
              <w:ind w:right="-91"/>
              <w:jc w:val="both"/>
              <w:rPr>
                <w:rFonts w:ascii="Verdana" w:hAnsi="Verdana" w:cs="Arial"/>
                <w:bCs/>
                <w:i/>
                <w:color w:val="000000" w:themeColor="text1"/>
              </w:rPr>
            </w:pPr>
          </w:p>
          <w:p w14:paraId="4AF7F9BD" w14:textId="77777777" w:rsidR="000D59A8" w:rsidRPr="00D86325" w:rsidRDefault="000D59A8" w:rsidP="00A35C22">
            <w:pPr>
              <w:spacing w:after="0" w:line="240" w:lineRule="auto"/>
              <w:jc w:val="both"/>
              <w:rPr>
                <w:rFonts w:ascii="Verdana" w:eastAsia="Times New Roman" w:hAnsi="Verdana" w:cs="Arial"/>
                <w:bCs/>
                <w:i/>
                <w:color w:val="000000" w:themeColor="text1"/>
                <w:lang w:val="es-ES_tradnl" w:eastAsia="es-ES"/>
              </w:rPr>
            </w:pPr>
            <w:r w:rsidRPr="00D86325">
              <w:rPr>
                <w:rFonts w:ascii="Verdana" w:eastAsia="Times New Roman" w:hAnsi="Verdana" w:cs="Arial"/>
                <w:bCs/>
                <w:iCs/>
                <w:color w:val="000000" w:themeColor="text1"/>
                <w:lang w:val="es-ES_tradnl" w:eastAsia="es-ES"/>
              </w:rPr>
              <w:t>En la misma línea argumentativa, tenemos que la Corte Constitucional instituyó</w:t>
            </w:r>
            <w:r w:rsidRPr="00D86325">
              <w:rPr>
                <w:rFonts w:ascii="Verdana" w:eastAsia="Times New Roman" w:hAnsi="Verdana" w:cs="Arial"/>
                <w:bCs/>
                <w:i/>
                <w:color w:val="000000" w:themeColor="text1"/>
                <w:lang w:val="es-ES_tradnl" w:eastAsia="es-ES"/>
              </w:rPr>
              <w:t xml:space="preserve">: “(…) No exige la Constitución que la ley establezca una específica retribución para el particular que ejerza funciones públicas. Al fin y al cabo, ésta es una forma de "participar en la vida política, cívica y </w:t>
            </w:r>
            <w:r w:rsidRPr="00D86325">
              <w:rPr>
                <w:rFonts w:ascii="Verdana" w:eastAsia="Times New Roman" w:hAnsi="Verdana" w:cs="Arial"/>
                <w:bCs/>
                <w:i/>
                <w:color w:val="000000" w:themeColor="text1"/>
                <w:u w:val="single"/>
                <w:lang w:val="es-ES_tradnl" w:eastAsia="es-ES"/>
              </w:rPr>
              <w:t>comunitaria</w:t>
            </w:r>
            <w:r w:rsidRPr="00D86325">
              <w:rPr>
                <w:rFonts w:ascii="Verdana" w:eastAsia="Times New Roman" w:hAnsi="Verdana" w:cs="Arial"/>
                <w:bCs/>
                <w:i/>
                <w:color w:val="000000" w:themeColor="text1"/>
                <w:lang w:val="es-ES_tradnl" w:eastAsia="es-ES"/>
              </w:rPr>
              <w:t>”. Cumplir así este deber, sin una específica retribución, no quebranta la justicia ni la equidad: por el contrario, las realiza, porque es una expresión de la solidaridad social. Y no puede afirmarse, en general, que el ejercicio de la función pública represente un perjuicio para el particular, porque no lo hay en el servicio a la comunidad. Sólo podría haberlo si la función asignada implicara una carga excesiva, desproporcionada, y contraria, por lo mismo, a la equidad y a la justicia. (…)”</w:t>
            </w:r>
            <w:r w:rsidRPr="00D86325">
              <w:rPr>
                <w:rFonts w:ascii="Verdana" w:eastAsia="Times New Roman" w:hAnsi="Verdana" w:cs="Arial"/>
                <w:bCs/>
                <w:i/>
                <w:color w:val="000000" w:themeColor="text1"/>
                <w:vertAlign w:val="superscript"/>
                <w:lang w:val="es-ES_tradnl" w:eastAsia="es-ES"/>
              </w:rPr>
              <w:footnoteReference w:id="4"/>
            </w:r>
            <w:r w:rsidRPr="00D86325">
              <w:rPr>
                <w:rFonts w:ascii="Verdana" w:eastAsia="Times New Roman" w:hAnsi="Verdana" w:cs="Arial"/>
                <w:bCs/>
                <w:i/>
                <w:color w:val="000000" w:themeColor="text1"/>
                <w:lang w:val="es-ES_tradnl" w:eastAsia="es-ES"/>
              </w:rPr>
              <w:t xml:space="preserve"> Negrilla y subrayado fuera de texto</w:t>
            </w:r>
          </w:p>
          <w:p w14:paraId="26349536" w14:textId="77777777" w:rsidR="000D59A8" w:rsidRPr="00D86325" w:rsidRDefault="000D59A8" w:rsidP="00A35C22">
            <w:pPr>
              <w:spacing w:after="0" w:line="240" w:lineRule="auto"/>
              <w:rPr>
                <w:rFonts w:ascii="Verdana" w:hAnsi="Verdana" w:cs="Arial"/>
                <w:bCs/>
                <w:i/>
                <w:color w:val="000000" w:themeColor="text1"/>
              </w:rPr>
            </w:pPr>
          </w:p>
          <w:p w14:paraId="4A11581D" w14:textId="77777777" w:rsidR="00912900" w:rsidRDefault="00912900" w:rsidP="00912900">
            <w:pPr>
              <w:spacing w:after="0" w:line="240" w:lineRule="auto"/>
              <w:jc w:val="both"/>
              <w:rPr>
                <w:rFonts w:ascii="Verdana" w:hAnsi="Verdana" w:cs="Arial"/>
                <w:bCs/>
                <w:iCs/>
                <w:color w:val="000000" w:themeColor="text1"/>
                <w:lang w:val="es-CO"/>
              </w:rPr>
            </w:pPr>
            <w:r w:rsidRPr="00912900">
              <w:rPr>
                <w:rFonts w:ascii="Verdana" w:hAnsi="Verdana" w:cs="Arial"/>
                <w:bCs/>
                <w:iCs/>
                <w:color w:val="000000" w:themeColor="text1"/>
                <w:lang w:val="es-CO"/>
              </w:rPr>
              <w:t>Del marco constitucional y la jurisprudencia citada se concluye que los particulares pueden ser responsables directos de la ejecución de funciones administrativas, en los términos que defina el legislador.</w:t>
            </w:r>
          </w:p>
          <w:p w14:paraId="04FDE608" w14:textId="77777777" w:rsidR="00912900" w:rsidRPr="00912900" w:rsidRDefault="00912900" w:rsidP="00912900">
            <w:pPr>
              <w:spacing w:after="0" w:line="240" w:lineRule="auto"/>
              <w:jc w:val="both"/>
              <w:rPr>
                <w:rFonts w:ascii="Verdana" w:hAnsi="Verdana" w:cs="Arial"/>
                <w:bCs/>
                <w:iCs/>
                <w:color w:val="000000" w:themeColor="text1"/>
                <w:lang w:val="es-CO"/>
              </w:rPr>
            </w:pPr>
          </w:p>
          <w:p w14:paraId="166E1BB1" w14:textId="77777777" w:rsidR="00912900" w:rsidRPr="00912900" w:rsidRDefault="00912900" w:rsidP="00912900">
            <w:pPr>
              <w:spacing w:after="0" w:line="240" w:lineRule="auto"/>
              <w:jc w:val="both"/>
              <w:rPr>
                <w:rFonts w:ascii="Verdana" w:hAnsi="Verdana" w:cs="Arial"/>
                <w:bCs/>
                <w:iCs/>
                <w:color w:val="000000" w:themeColor="text1"/>
                <w:lang w:val="es-CO"/>
              </w:rPr>
            </w:pPr>
            <w:r w:rsidRPr="00912900">
              <w:rPr>
                <w:rFonts w:ascii="Verdana" w:hAnsi="Verdana" w:cs="Arial"/>
                <w:bCs/>
                <w:iCs/>
                <w:color w:val="000000" w:themeColor="text1"/>
                <w:lang w:val="es-CO"/>
              </w:rPr>
              <w:t>Asimismo, no todas las relaciones de trabajo se rigen por el Código Sustantivo del Trabajo, ya que algunas se regulan por regímenes especiales, como ocurre en el Sistema Nacional de Bienestar Familiar.</w:t>
            </w:r>
          </w:p>
          <w:p w14:paraId="2F3CAFAF" w14:textId="77777777" w:rsidR="000D59A8" w:rsidRPr="00912900" w:rsidRDefault="000D59A8" w:rsidP="00A35C22">
            <w:pPr>
              <w:autoSpaceDE w:val="0"/>
              <w:autoSpaceDN w:val="0"/>
              <w:adjustRightInd w:val="0"/>
              <w:spacing w:after="0" w:line="240" w:lineRule="auto"/>
              <w:rPr>
                <w:rFonts w:ascii="Verdana" w:hAnsi="Verdana" w:cs="Arial"/>
                <w:bCs/>
                <w:color w:val="000000" w:themeColor="text1"/>
                <w:lang w:val="es-CO"/>
              </w:rPr>
            </w:pPr>
          </w:p>
          <w:p w14:paraId="462C9BD9" w14:textId="0A96ABEF" w:rsidR="000D59A8" w:rsidRPr="00D86325" w:rsidRDefault="000D59A8" w:rsidP="00D86325">
            <w:pPr>
              <w:pStyle w:val="Prrafodelista"/>
              <w:numPr>
                <w:ilvl w:val="1"/>
                <w:numId w:val="25"/>
              </w:numPr>
              <w:spacing w:after="0" w:line="240" w:lineRule="auto"/>
              <w:contextualSpacing w:val="0"/>
              <w:jc w:val="both"/>
              <w:rPr>
                <w:rFonts w:ascii="Verdana" w:hAnsi="Verdana" w:cs="Arial"/>
                <w:b/>
                <w:color w:val="000000" w:themeColor="text1"/>
                <w:highlight w:val="yellow"/>
              </w:rPr>
            </w:pPr>
            <w:r w:rsidRPr="00D86325">
              <w:rPr>
                <w:rFonts w:ascii="Verdana" w:hAnsi="Verdana" w:cs="Arial"/>
                <w:b/>
                <w:color w:val="000000" w:themeColor="text1"/>
                <w:highlight w:val="yellow"/>
              </w:rPr>
              <w:t xml:space="preserve">ANÁLISIS DE LA OFICINA </w:t>
            </w:r>
            <w:r w:rsidR="003F5804">
              <w:rPr>
                <w:rFonts w:ascii="Verdana" w:hAnsi="Verdana" w:cs="Arial"/>
                <w:b/>
                <w:color w:val="000000" w:themeColor="text1"/>
                <w:highlight w:val="yellow"/>
              </w:rPr>
              <w:t>J</w:t>
            </w:r>
            <w:r w:rsidRPr="00D86325">
              <w:rPr>
                <w:rFonts w:ascii="Verdana" w:hAnsi="Verdana" w:cs="Arial"/>
                <w:b/>
                <w:color w:val="000000" w:themeColor="text1"/>
                <w:highlight w:val="yellow"/>
              </w:rPr>
              <w:t>URÍDICA</w:t>
            </w:r>
          </w:p>
          <w:p w14:paraId="3863B46A" w14:textId="77777777" w:rsidR="000D59A8" w:rsidRPr="00D86325" w:rsidRDefault="000D59A8" w:rsidP="00A35C22">
            <w:pPr>
              <w:pStyle w:val="Sinespaciado1"/>
              <w:jc w:val="both"/>
              <w:rPr>
                <w:rFonts w:ascii="Verdana" w:hAnsi="Verdana" w:cs="Arial"/>
                <w:bCs/>
                <w:iCs/>
                <w:color w:val="000000" w:themeColor="text1"/>
                <w:highlight w:val="yellow"/>
                <w:u w:val="single"/>
              </w:rPr>
            </w:pPr>
          </w:p>
          <w:p w14:paraId="1716EC6E" w14:textId="77777777" w:rsidR="00351EEE" w:rsidRPr="00D86325" w:rsidRDefault="00351EEE" w:rsidP="00A35C22">
            <w:pPr>
              <w:widowControl w:val="0"/>
              <w:spacing w:after="0" w:line="240" w:lineRule="auto"/>
              <w:jc w:val="both"/>
              <w:rPr>
                <w:rFonts w:ascii="Verdana" w:hAnsi="Verdana" w:cs="Arial"/>
                <w:b/>
                <w:color w:val="000000" w:themeColor="text1"/>
                <w:lang w:val="es-CO"/>
              </w:rPr>
            </w:pPr>
            <w:r w:rsidRPr="00D86325">
              <w:rPr>
                <w:rFonts w:ascii="Verdana" w:hAnsi="Verdana" w:cs="Arial"/>
                <w:b/>
                <w:color w:val="000000" w:themeColor="text1"/>
                <w:lang w:val="es-CO"/>
              </w:rPr>
              <w:t>DE LA RECLAMACIÓN ADMINISTRATIVA</w:t>
            </w:r>
          </w:p>
          <w:p w14:paraId="6578F9BF" w14:textId="77777777" w:rsidR="00351EEE" w:rsidRPr="00D86325" w:rsidRDefault="00351EEE" w:rsidP="00A35C22">
            <w:pPr>
              <w:widowControl w:val="0"/>
              <w:spacing w:after="0" w:line="240" w:lineRule="auto"/>
              <w:jc w:val="both"/>
              <w:rPr>
                <w:rFonts w:ascii="Verdana" w:hAnsi="Verdana" w:cs="Arial"/>
                <w:b/>
                <w:color w:val="000000" w:themeColor="text1"/>
                <w:lang w:val="es-CO"/>
              </w:rPr>
            </w:pPr>
          </w:p>
          <w:p w14:paraId="6D1200A8" w14:textId="77777777" w:rsidR="00351EEE" w:rsidRPr="00D86325" w:rsidRDefault="00351EEE" w:rsidP="00A35C22">
            <w:pPr>
              <w:spacing w:line="240" w:lineRule="auto"/>
              <w:jc w:val="both"/>
              <w:rPr>
                <w:rFonts w:ascii="Verdana" w:hAnsi="Verdana"/>
                <w:color w:val="000000" w:themeColor="text1"/>
              </w:rPr>
            </w:pPr>
            <w:r w:rsidRPr="00D86325">
              <w:rPr>
                <w:rFonts w:ascii="Verdana" w:hAnsi="Verdana"/>
                <w:color w:val="000000" w:themeColor="text1"/>
              </w:rPr>
              <w:t xml:space="preserve">El artículo </w:t>
            </w:r>
            <w:r w:rsidRPr="00D86325">
              <w:rPr>
                <w:rFonts w:ascii="Verdana" w:hAnsi="Verdana" w:cs="Arial"/>
                <w:color w:val="000000" w:themeColor="text1"/>
                <w:lang w:val="es-CO"/>
              </w:rPr>
              <w:t xml:space="preserve">6 del Código Procesal del Trabajo y de la Seguridad Social, modificado por el artículo 4 de la ley 712 de 2001 </w:t>
            </w:r>
            <w:r w:rsidRPr="00D86325">
              <w:rPr>
                <w:rFonts w:ascii="Verdana" w:hAnsi="Verdana"/>
                <w:color w:val="000000" w:themeColor="text1"/>
              </w:rPr>
              <w:t>dispone:</w:t>
            </w:r>
          </w:p>
          <w:p w14:paraId="66B018ED" w14:textId="77777777" w:rsidR="00351EEE" w:rsidRPr="00D86325" w:rsidRDefault="00351EEE" w:rsidP="00A35C22">
            <w:pPr>
              <w:spacing w:line="240" w:lineRule="auto"/>
              <w:ind w:left="720"/>
              <w:jc w:val="both"/>
              <w:rPr>
                <w:rFonts w:ascii="Verdana" w:hAnsi="Verdana"/>
                <w:i/>
                <w:color w:val="000000" w:themeColor="text1"/>
              </w:rPr>
            </w:pPr>
            <w:r w:rsidRPr="00D86325">
              <w:rPr>
                <w:rFonts w:ascii="Verdana" w:hAnsi="Verdana"/>
                <w:i/>
                <w:color w:val="000000" w:themeColor="text1"/>
              </w:rPr>
              <w:lastRenderedPageBreak/>
              <w:t>“Las acciones contenciosas contra la Nación, las entidades territoriales y cualquiera otra entidad de la administración pública sólo podrán iniciarse cuando se haya agotado la reclamación administrativa. Esta reclamación consiste en el simple reclamo escrito del servidor público o trabajador sobre el derecho que pretenda, y se agota cuando se haya decidido o cuando transcurrido un mes desde su presentación no ha sido resuelta.</w:t>
            </w:r>
          </w:p>
          <w:p w14:paraId="0CB92B85" w14:textId="77777777" w:rsidR="00351EEE" w:rsidRPr="00D86325" w:rsidRDefault="00351EEE" w:rsidP="00A35C22">
            <w:pPr>
              <w:spacing w:line="240" w:lineRule="auto"/>
              <w:ind w:firstLine="720"/>
              <w:jc w:val="both"/>
              <w:rPr>
                <w:rFonts w:ascii="Verdana" w:hAnsi="Verdana"/>
                <w:i/>
                <w:color w:val="000000" w:themeColor="text1"/>
              </w:rPr>
            </w:pPr>
            <w:r w:rsidRPr="00D86325">
              <w:rPr>
                <w:rFonts w:ascii="Verdana" w:hAnsi="Verdana"/>
                <w:i/>
                <w:color w:val="000000" w:themeColor="text1"/>
              </w:rPr>
              <w:t>(…)”.</w:t>
            </w:r>
          </w:p>
          <w:p w14:paraId="36C7449D" w14:textId="77777777" w:rsidR="00351EEE" w:rsidRPr="00D86325" w:rsidRDefault="00351EEE" w:rsidP="00A35C22">
            <w:pPr>
              <w:spacing w:line="240" w:lineRule="auto"/>
              <w:jc w:val="both"/>
              <w:rPr>
                <w:rFonts w:ascii="Verdana" w:hAnsi="Verdana"/>
                <w:color w:val="000000" w:themeColor="text1"/>
              </w:rPr>
            </w:pPr>
            <w:r w:rsidRPr="00D86325">
              <w:rPr>
                <w:rFonts w:ascii="Verdana" w:hAnsi="Verdana"/>
                <w:color w:val="000000" w:themeColor="text1"/>
              </w:rPr>
              <w:t>En la sentencia C-792 de 2006</w:t>
            </w:r>
            <w:r w:rsidRPr="00D86325">
              <w:rPr>
                <w:rStyle w:val="Refdenotaalpie"/>
                <w:rFonts w:ascii="Verdana" w:hAnsi="Verdana"/>
                <w:color w:val="000000" w:themeColor="text1"/>
              </w:rPr>
              <w:footnoteReference w:id="5"/>
            </w:r>
            <w:r w:rsidRPr="00D86325">
              <w:rPr>
                <w:rFonts w:ascii="Verdana" w:hAnsi="Verdana"/>
                <w:color w:val="000000" w:themeColor="text1"/>
              </w:rPr>
              <w:t xml:space="preserve"> la Corte Constitucional se refirió al agotamiento de la reclamación administrativa como un requisito de procedibilidad para acceder a la administración de justicia, igualmente, como una oportunidad de autotutela administrativa de las entidades, para que resuelvan las pretensiones que a ella avocan, previo el estudio fáctico y jurídico que sea del caso, de manera que puedan pronunciarse antes de que le controversia surta en sede judicial, veamos:</w:t>
            </w:r>
          </w:p>
          <w:p w14:paraId="15A016D3" w14:textId="3AEA535B" w:rsidR="00351EEE" w:rsidRPr="00D86325" w:rsidRDefault="00351EEE" w:rsidP="00A35C22">
            <w:pPr>
              <w:spacing w:line="240" w:lineRule="auto"/>
              <w:ind w:left="720"/>
              <w:jc w:val="both"/>
              <w:rPr>
                <w:rFonts w:ascii="Verdana" w:hAnsi="Verdana"/>
                <w:color w:val="000000" w:themeColor="text1"/>
              </w:rPr>
            </w:pPr>
            <w:r w:rsidRPr="00D86325">
              <w:rPr>
                <w:rFonts w:ascii="Verdana" w:hAnsi="Verdana"/>
                <w:color w:val="000000" w:themeColor="text1"/>
              </w:rPr>
              <w:t>“</w:t>
            </w:r>
            <w:r w:rsidRPr="00D86325">
              <w:rPr>
                <w:rFonts w:ascii="Verdana" w:hAnsi="Verdana"/>
                <w:i/>
                <w:color w:val="000000" w:themeColor="text1"/>
              </w:rPr>
              <w:t xml:space="preserve">Sobre esta materia, específicamente en el ámbito de la justicia ordinaria laboral, que es el que interesa al asunto que se viene tratando, la Corte Suprema de Justicia ha señalado que de acuerdo con nuestro ordenamiento jurídico, </w:t>
            </w:r>
            <w:r w:rsidRPr="00912900">
              <w:rPr>
                <w:rFonts w:ascii="Verdana" w:hAnsi="Verdana"/>
                <w:b/>
                <w:bCs/>
                <w:i/>
                <w:color w:val="000000" w:themeColor="text1"/>
                <w:u w:val="single"/>
              </w:rPr>
              <w:t>antes de reclamarse ante los estrados laborales de la jurisdicción ordinaria alguna pretensión de orden social a cualesquiera de las entidades enunciadas en el artículo 6º del C.P.L.S.S., se hace necesario que el interesado formule previamente su petición de reivindicación ante éstas</w:t>
            </w:r>
            <w:bookmarkStart w:id="1" w:name="_ftnref26"/>
            <w:r w:rsidRPr="00912900">
              <w:rPr>
                <w:rFonts w:ascii="Verdana" w:hAnsi="Verdana"/>
                <w:b/>
                <w:bCs/>
                <w:i/>
                <w:color w:val="000000" w:themeColor="text1"/>
                <w:u w:val="single"/>
              </w:rPr>
              <w:fldChar w:fldCharType="begin"/>
            </w:r>
            <w:r w:rsidRPr="00912900">
              <w:rPr>
                <w:rFonts w:ascii="Verdana" w:hAnsi="Verdana"/>
                <w:b/>
                <w:bCs/>
                <w:i/>
                <w:color w:val="000000" w:themeColor="text1"/>
                <w:u w:val="single"/>
              </w:rPr>
              <w:instrText xml:space="preserve"> HYPERLINK "https://www.corteconstitucional.gov.co/relatoria/2006/C-792-06.htm" \l "_ftn26" \o "" </w:instrText>
            </w:r>
            <w:r w:rsidRPr="00912900">
              <w:rPr>
                <w:rFonts w:ascii="Verdana" w:hAnsi="Verdana"/>
                <w:b/>
                <w:bCs/>
                <w:i/>
                <w:color w:val="000000" w:themeColor="text1"/>
                <w:u w:val="single"/>
              </w:rPr>
            </w:r>
            <w:r w:rsidRPr="00912900">
              <w:rPr>
                <w:rFonts w:ascii="Verdana" w:hAnsi="Verdana"/>
                <w:b/>
                <w:bCs/>
                <w:i/>
                <w:color w:val="000000" w:themeColor="text1"/>
                <w:u w:val="single"/>
              </w:rPr>
              <w:fldChar w:fldCharType="separate"/>
            </w:r>
            <w:r w:rsidRPr="00912900">
              <w:rPr>
                <w:rFonts w:ascii="Verdana" w:hAnsi="Verdana"/>
                <w:b/>
                <w:bCs/>
                <w:i/>
                <w:color w:val="000000" w:themeColor="text1"/>
                <w:u w:val="single"/>
              </w:rPr>
              <w:t>[26]</w:t>
            </w:r>
            <w:r w:rsidRPr="00912900">
              <w:rPr>
                <w:rFonts w:ascii="Verdana" w:hAnsi="Verdana"/>
                <w:b/>
                <w:bCs/>
                <w:i/>
                <w:color w:val="000000" w:themeColor="text1"/>
                <w:u w:val="single"/>
              </w:rPr>
              <w:fldChar w:fldCharType="end"/>
            </w:r>
            <w:bookmarkEnd w:id="1"/>
            <w:r w:rsidRPr="00912900">
              <w:rPr>
                <w:rFonts w:ascii="Verdana" w:hAnsi="Verdana"/>
                <w:b/>
                <w:bCs/>
                <w:i/>
                <w:color w:val="000000" w:themeColor="text1"/>
                <w:u w:val="single"/>
              </w:rPr>
              <w:t>.</w:t>
            </w:r>
            <w:r w:rsidRPr="00912900">
              <w:rPr>
                <w:rFonts w:ascii="Verdana" w:hAnsi="Verdana"/>
                <w:b/>
                <w:bCs/>
                <w:i/>
                <w:color w:val="000000" w:themeColor="text1"/>
              </w:rPr>
              <w:t xml:space="preserve"> Ha puntualizado la Corte Suprema de Justicia que “… </w:t>
            </w:r>
            <w:r w:rsidRPr="00912900">
              <w:rPr>
                <w:rFonts w:ascii="Verdana" w:hAnsi="Verdana"/>
                <w:b/>
                <w:bCs/>
                <w:i/>
                <w:color w:val="000000" w:themeColor="text1"/>
                <w:u w:val="single"/>
              </w:rPr>
              <w:t>el anterior procedimiento gubernativo tiene por finalidad que las entidades de derecho público y social con antelación a cualquier controversia ante los juzgados laborales, tengan la oportunidad de establecer, previo el estudio fáctico y jurídico que sea del caso, la procedencia o no del derecho que se pretende por el peticionario, y que de ajustarse a la ley la respectiva reclamación, la misma sea reconocida directamente por el ente obligado, logrando así, sin la intervención del Juez Laboral, la solución de un conflicto en cierne.</w:t>
            </w:r>
            <w:r w:rsidRPr="00D86325">
              <w:rPr>
                <w:rFonts w:ascii="Verdana" w:hAnsi="Verdana"/>
                <w:i/>
                <w:color w:val="000000" w:themeColor="text1"/>
                <w:u w:val="single"/>
              </w:rPr>
              <w:t>”</w:t>
            </w:r>
            <w:bookmarkStart w:id="2" w:name="_ftnref27"/>
            <w:r w:rsidRPr="00D86325">
              <w:rPr>
                <w:rFonts w:ascii="Verdana" w:hAnsi="Verdana"/>
                <w:i/>
                <w:color w:val="000000" w:themeColor="text1"/>
                <w:u w:val="single"/>
              </w:rPr>
              <w:fldChar w:fldCharType="begin"/>
            </w:r>
            <w:r w:rsidRPr="00D86325">
              <w:rPr>
                <w:rFonts w:ascii="Verdana" w:hAnsi="Verdana"/>
                <w:i/>
                <w:color w:val="000000" w:themeColor="text1"/>
                <w:u w:val="single"/>
              </w:rPr>
              <w:instrText xml:space="preserve"> HYPERLINK "https://www.corteconstitucional.gov.co/relatoria/2006/C-792-06.htm" \l "_ftn27" \o "" </w:instrText>
            </w:r>
            <w:r w:rsidRPr="00D86325">
              <w:rPr>
                <w:rFonts w:ascii="Verdana" w:hAnsi="Verdana"/>
                <w:i/>
                <w:color w:val="000000" w:themeColor="text1"/>
                <w:u w:val="single"/>
              </w:rPr>
            </w:r>
            <w:r w:rsidRPr="00D86325">
              <w:rPr>
                <w:rFonts w:ascii="Verdana" w:hAnsi="Verdana"/>
                <w:i/>
                <w:color w:val="000000" w:themeColor="text1"/>
                <w:u w:val="single"/>
              </w:rPr>
              <w:fldChar w:fldCharType="separate"/>
            </w:r>
            <w:r w:rsidRPr="00D86325">
              <w:rPr>
                <w:rFonts w:ascii="Verdana" w:hAnsi="Verdana"/>
                <w:color w:val="000000" w:themeColor="text1"/>
                <w:u w:val="single"/>
              </w:rPr>
              <w:t>[27]</w:t>
            </w:r>
            <w:r w:rsidRPr="00D86325">
              <w:rPr>
                <w:rFonts w:ascii="Verdana" w:hAnsi="Verdana"/>
                <w:i/>
                <w:color w:val="000000" w:themeColor="text1"/>
                <w:u w:val="single"/>
              </w:rPr>
              <w:fldChar w:fldCharType="end"/>
            </w:r>
            <w:bookmarkEnd w:id="2"/>
            <w:r w:rsidRPr="00D86325">
              <w:rPr>
                <w:rFonts w:ascii="Verdana" w:hAnsi="Verdana"/>
                <w:i/>
                <w:color w:val="000000" w:themeColor="text1"/>
              </w:rPr>
              <w:t xml:space="preserve"> En la misma providencia la Corte Suprema de Justicia puso de presente que la doctrina y la jurisprudencia laboral han expresado que “… a través del instituto de la vía gubernativa se le da a dichas entidades, la oportunidad de ejercer una especie de justicia interna, como que la misma ley les permite conocer de manera primigenia, es decir, antes que a los propios jueces del trabajo, las inconformidades de orden laboral que tengan las personas legitimadas para formularles esta clase de cuestionamientos, para que sean tales organismos, actuando como juez de sus propias decisiones, los que definan la viabilidad de aquellas y puedan así corregir por </w:t>
            </w:r>
            <w:r w:rsidR="00777295" w:rsidRPr="00D86325">
              <w:rPr>
                <w:rFonts w:ascii="Verdana" w:hAnsi="Verdana"/>
                <w:i/>
                <w:color w:val="000000" w:themeColor="text1"/>
              </w:rPr>
              <w:t>sí</w:t>
            </w:r>
            <w:r w:rsidRPr="00D86325">
              <w:rPr>
                <w:rFonts w:ascii="Verdana" w:hAnsi="Verdana"/>
                <w:i/>
                <w:color w:val="000000" w:themeColor="text1"/>
              </w:rPr>
              <w:t xml:space="preserve"> mismas, cualquier error en que hayan podido incurrir en torno a las actuaciones que originaron tales desavenencias y  evitar de esta manera los traumatismos propios de una controversia judicial.”</w:t>
            </w:r>
            <w:bookmarkStart w:id="3" w:name="_ftnref28"/>
            <w:r w:rsidRPr="00D86325">
              <w:rPr>
                <w:rFonts w:ascii="Verdana" w:hAnsi="Verdana"/>
                <w:i/>
                <w:color w:val="000000" w:themeColor="text1"/>
              </w:rPr>
              <w:fldChar w:fldCharType="begin"/>
            </w:r>
            <w:r w:rsidRPr="00D86325">
              <w:rPr>
                <w:rFonts w:ascii="Verdana" w:hAnsi="Verdana"/>
                <w:i/>
                <w:color w:val="000000" w:themeColor="text1"/>
              </w:rPr>
              <w:instrText xml:space="preserve"> HYPERLINK "https://www.corteconstitucional.gov.co/relatoria/2006/C-792-06.htm" \l "_ftn28" \o "" </w:instrText>
            </w:r>
            <w:r w:rsidRPr="00D86325">
              <w:rPr>
                <w:rFonts w:ascii="Verdana" w:hAnsi="Verdana"/>
                <w:i/>
                <w:color w:val="000000" w:themeColor="text1"/>
              </w:rPr>
            </w:r>
            <w:r w:rsidRPr="00D86325">
              <w:rPr>
                <w:rFonts w:ascii="Verdana" w:hAnsi="Verdana"/>
                <w:i/>
                <w:color w:val="000000" w:themeColor="text1"/>
              </w:rPr>
              <w:fldChar w:fldCharType="separate"/>
            </w:r>
            <w:r w:rsidRPr="00D86325">
              <w:rPr>
                <w:rFonts w:ascii="Verdana" w:hAnsi="Verdana"/>
                <w:color w:val="000000" w:themeColor="text1"/>
              </w:rPr>
              <w:t>[28]</w:t>
            </w:r>
            <w:r w:rsidRPr="00D86325">
              <w:rPr>
                <w:rFonts w:ascii="Verdana" w:hAnsi="Verdana"/>
                <w:i/>
                <w:color w:val="000000" w:themeColor="text1"/>
              </w:rPr>
              <w:fldChar w:fldCharType="end"/>
            </w:r>
            <w:bookmarkEnd w:id="3"/>
            <w:r w:rsidRPr="00D86325">
              <w:rPr>
                <w:rFonts w:ascii="Verdana" w:hAnsi="Verdana"/>
                <w:color w:val="000000" w:themeColor="text1"/>
              </w:rPr>
              <w:t xml:space="preserve"> Subraya fuera de texto.</w:t>
            </w:r>
          </w:p>
          <w:p w14:paraId="399863AF" w14:textId="42F836FF" w:rsidR="00351EEE" w:rsidRPr="00D86325" w:rsidRDefault="00351EEE" w:rsidP="00A35C22">
            <w:pPr>
              <w:spacing w:line="240" w:lineRule="auto"/>
              <w:jc w:val="both"/>
              <w:rPr>
                <w:rFonts w:ascii="Verdana" w:hAnsi="Verdana"/>
                <w:color w:val="000000" w:themeColor="text1"/>
              </w:rPr>
            </w:pPr>
            <w:r w:rsidRPr="00D86325">
              <w:rPr>
                <w:rFonts w:ascii="Verdana" w:hAnsi="Verdana"/>
                <w:color w:val="000000" w:themeColor="text1"/>
              </w:rPr>
              <w:t xml:space="preserve">En armonía con lo anterior, la Sala Laboral de la Corte Suprema de Justicia, al resolver el recurso de casación interpuesto por </w:t>
            </w:r>
            <w:r w:rsidR="00912900">
              <w:rPr>
                <w:rFonts w:ascii="Verdana" w:hAnsi="Verdana"/>
                <w:color w:val="000000" w:themeColor="text1"/>
              </w:rPr>
              <w:t xml:space="preserve">la demandante </w:t>
            </w:r>
            <w:r w:rsidRPr="00D86325">
              <w:rPr>
                <w:rFonts w:ascii="Verdana" w:hAnsi="Verdana"/>
                <w:color w:val="000000" w:themeColor="text1"/>
              </w:rPr>
              <w:t>contra la sentencia proferida por la Sala Laboral del Tribunal Superior del Distrito Judicial de Cúcuta, en el proceso que le promovió al INSTITUTO DE SEGUROS SOCIALES</w:t>
            </w:r>
            <w:r w:rsidRPr="00D86325">
              <w:rPr>
                <w:rFonts w:ascii="Verdana" w:hAnsi="Verdana"/>
                <w:color w:val="000000" w:themeColor="text1"/>
                <w:vertAlign w:val="superscript"/>
              </w:rPr>
              <w:footnoteReference w:id="6"/>
            </w:r>
            <w:r w:rsidRPr="00D86325">
              <w:rPr>
                <w:rFonts w:ascii="Verdana" w:hAnsi="Verdana"/>
                <w:color w:val="000000" w:themeColor="text1"/>
              </w:rPr>
              <w:t>, recordó su jurisprudencia sobre la coherencia que debe existir entre la demanda contra una entidad con el escrito de agotamiento de la vía gubernativa, así:</w:t>
            </w:r>
          </w:p>
          <w:p w14:paraId="263511E8" w14:textId="77777777" w:rsidR="00351EEE" w:rsidRPr="00D86325" w:rsidRDefault="00351EEE" w:rsidP="00A35C22">
            <w:pPr>
              <w:spacing w:line="240" w:lineRule="auto"/>
              <w:ind w:left="720"/>
              <w:jc w:val="both"/>
              <w:rPr>
                <w:rFonts w:ascii="Verdana" w:hAnsi="Verdana"/>
                <w:color w:val="000000" w:themeColor="text1"/>
              </w:rPr>
            </w:pPr>
            <w:r w:rsidRPr="00D86325">
              <w:rPr>
                <w:rFonts w:ascii="Verdana" w:hAnsi="Verdana"/>
                <w:i/>
                <w:color w:val="000000" w:themeColor="text1"/>
              </w:rPr>
              <w:t>“</w:t>
            </w:r>
            <w:r w:rsidRPr="00D86325">
              <w:rPr>
                <w:rFonts w:ascii="Verdana" w:hAnsi="Verdana"/>
                <w:i/>
                <w:color w:val="000000" w:themeColor="text1"/>
                <w:u w:val="single"/>
              </w:rPr>
              <w:t xml:space="preserve">Con todo, huelga resaltar que la demanda contra una entidad oficial, para su habilitación procesal y prosperidad, ha de guardar coherencia con el escrito de agotamiento de la vía gubernativa, de suerte que las pretensiones del libelo y su causa no resulten diferentes a las planteadas en forma directa a la empleadora, porque de lo contrario se afectaría el legítimo derecho de contradicción y defensa e, incluso, se violaría el principio de lealtad procesal. En este mismo sentido se ha </w:t>
            </w:r>
            <w:r w:rsidRPr="00D86325">
              <w:rPr>
                <w:rFonts w:ascii="Verdana" w:hAnsi="Verdana"/>
                <w:i/>
                <w:color w:val="000000" w:themeColor="text1"/>
                <w:u w:val="single"/>
              </w:rPr>
              <w:lastRenderedPageBreak/>
              <w:t>pronunciado en anteriores oportunidades la Sala</w:t>
            </w:r>
            <w:r w:rsidRPr="00D86325">
              <w:rPr>
                <w:rFonts w:ascii="Verdana" w:hAnsi="Verdana"/>
                <w:i/>
                <w:color w:val="000000" w:themeColor="text1"/>
              </w:rPr>
              <w:t xml:space="preserve"> (cas. del 15/02/00, exp. 12767 y 22/10/98, exp. 11151)”. </w:t>
            </w:r>
            <w:r w:rsidRPr="00D86325">
              <w:rPr>
                <w:rFonts w:ascii="Verdana" w:hAnsi="Verdana"/>
                <w:color w:val="000000" w:themeColor="text1"/>
              </w:rPr>
              <w:t>Subraya fuera de texto.</w:t>
            </w:r>
          </w:p>
          <w:p w14:paraId="5CFCC93F" w14:textId="77777777" w:rsidR="00351EEE" w:rsidRPr="00D86325" w:rsidRDefault="00351EEE" w:rsidP="00A35C22">
            <w:pPr>
              <w:widowControl w:val="0"/>
              <w:spacing w:after="0" w:line="240" w:lineRule="auto"/>
              <w:jc w:val="both"/>
              <w:rPr>
                <w:rFonts w:ascii="Verdana" w:hAnsi="Verdana" w:cs="Arial"/>
                <w:color w:val="000000" w:themeColor="text1"/>
                <w:lang w:val="es-CO"/>
              </w:rPr>
            </w:pPr>
            <w:r w:rsidRPr="00D86325">
              <w:rPr>
                <w:rFonts w:ascii="Verdana" w:hAnsi="Verdana" w:cs="Arial"/>
                <w:color w:val="000000" w:themeColor="text1"/>
                <w:lang w:val="es-CO"/>
              </w:rPr>
              <w:t xml:space="preserve">Lo anterior permite concluir que las acciones contenciosas contra la Nación, las entidades territoriales y cualquier otra entidad de la administración pública solo podrán iniciarse cuando se haya agotado la reclamación administrativa, </w:t>
            </w:r>
            <w:r w:rsidRPr="00D86325">
              <w:rPr>
                <w:rFonts w:ascii="Verdana" w:hAnsi="Verdana" w:cs="Arial"/>
                <w:color w:val="000000" w:themeColor="text1"/>
                <w:u w:val="single"/>
                <w:lang w:val="es-CO"/>
              </w:rPr>
              <w:t>la cual consiste en un simple reclamo escrito del servidor público o trabajador sobre el derecho que pretenda;</w:t>
            </w:r>
            <w:r w:rsidRPr="00D86325">
              <w:rPr>
                <w:rFonts w:ascii="Verdana" w:hAnsi="Verdana" w:cs="Arial"/>
                <w:color w:val="000000" w:themeColor="text1"/>
                <w:lang w:val="es-CO"/>
              </w:rPr>
              <w:t xml:space="preserve"> requisito que habilita la posibilidad de acudir a la Jurisdicción Laboral para exigir el derecho que pretende, y que constituye un presupuesto de procedibilidad de la acción.</w:t>
            </w:r>
          </w:p>
          <w:p w14:paraId="68C1592A" w14:textId="77777777" w:rsidR="00351EEE" w:rsidRPr="00D86325" w:rsidRDefault="00351EEE" w:rsidP="00A35C22">
            <w:pPr>
              <w:widowControl w:val="0"/>
              <w:spacing w:after="0" w:line="240" w:lineRule="auto"/>
              <w:jc w:val="both"/>
              <w:rPr>
                <w:rFonts w:ascii="Verdana" w:hAnsi="Verdana" w:cs="Arial"/>
                <w:color w:val="000000" w:themeColor="text1"/>
                <w:lang w:val="es-CO"/>
              </w:rPr>
            </w:pPr>
          </w:p>
          <w:p w14:paraId="31E69623" w14:textId="0D44E251" w:rsidR="00351EEE" w:rsidRDefault="00912900" w:rsidP="00A35C22">
            <w:pPr>
              <w:pStyle w:val="Sinespaciado1"/>
              <w:jc w:val="both"/>
              <w:rPr>
                <w:rFonts w:ascii="Verdana" w:eastAsia="Calibri" w:hAnsi="Verdana" w:cs="Arial"/>
                <w:color w:val="000000" w:themeColor="text1"/>
              </w:rPr>
            </w:pPr>
            <w:r w:rsidRPr="00912900">
              <w:rPr>
                <w:rFonts w:ascii="Verdana" w:eastAsia="Calibri" w:hAnsi="Verdana" w:cs="Arial"/>
                <w:color w:val="000000" w:themeColor="text1"/>
                <w:highlight w:val="yellow"/>
              </w:rPr>
              <w:t xml:space="preserve">En el caso que nos ocupa, obra reclamación administrativa radicada ante el Instituto Colombiano de Bienestar Familiar (ICBF), por lo que este requisito se encuentra debidamente </w:t>
            </w:r>
            <w:r w:rsidRPr="00912900">
              <w:rPr>
                <w:rFonts w:ascii="Verdana" w:eastAsia="Calibri" w:hAnsi="Verdana" w:cs="Arial"/>
                <w:color w:val="000000" w:themeColor="text1"/>
              </w:rPr>
              <w:t>agotado (verificar número de radicación y la respectiva respuesta).</w:t>
            </w:r>
          </w:p>
          <w:p w14:paraId="3B7C8B32" w14:textId="77777777" w:rsidR="00912900" w:rsidRPr="00D86325" w:rsidRDefault="00912900" w:rsidP="00A35C22">
            <w:pPr>
              <w:pStyle w:val="Sinespaciado1"/>
              <w:jc w:val="both"/>
              <w:rPr>
                <w:rFonts w:ascii="Verdana" w:hAnsi="Verdana" w:cs="Arial"/>
                <w:bCs/>
                <w:iCs/>
                <w:color w:val="000000" w:themeColor="text1"/>
                <w:u w:val="single"/>
              </w:rPr>
            </w:pPr>
          </w:p>
          <w:p w14:paraId="761A93C7" w14:textId="77777777" w:rsidR="00351EEE" w:rsidRPr="00D86325" w:rsidRDefault="00351EEE" w:rsidP="00A35C22">
            <w:pPr>
              <w:pStyle w:val="Sinespaciado1"/>
              <w:jc w:val="both"/>
              <w:rPr>
                <w:rFonts w:ascii="Verdana" w:hAnsi="Verdana" w:cs="Arial"/>
                <w:b/>
                <w:iCs/>
                <w:color w:val="000000" w:themeColor="text1"/>
              </w:rPr>
            </w:pPr>
            <w:r w:rsidRPr="00D86325">
              <w:rPr>
                <w:rFonts w:ascii="Verdana" w:hAnsi="Verdana" w:cs="Arial"/>
                <w:b/>
                <w:iCs/>
                <w:color w:val="000000" w:themeColor="text1"/>
              </w:rPr>
              <w:t>PRESCRIPCIÓN</w:t>
            </w:r>
          </w:p>
          <w:p w14:paraId="74A43C0A" w14:textId="77777777" w:rsidR="00351EEE" w:rsidRPr="00D86325" w:rsidRDefault="00351EEE" w:rsidP="00A35C22">
            <w:pPr>
              <w:pStyle w:val="Sinespaciado1"/>
              <w:ind w:left="720"/>
              <w:rPr>
                <w:rFonts w:ascii="Verdana" w:hAnsi="Verdana" w:cs="Arial"/>
                <w:bCs/>
                <w:iCs/>
                <w:color w:val="000000" w:themeColor="text1"/>
              </w:rPr>
            </w:pPr>
          </w:p>
          <w:p w14:paraId="2079962E" w14:textId="77777777" w:rsidR="00912900" w:rsidRPr="00912900" w:rsidRDefault="00912900" w:rsidP="00912900">
            <w:pPr>
              <w:spacing w:line="240" w:lineRule="auto"/>
              <w:jc w:val="both"/>
              <w:rPr>
                <w:rFonts w:ascii="Verdana" w:hAnsi="Verdana" w:cs="Arial"/>
                <w:bCs/>
                <w:color w:val="000000" w:themeColor="text1"/>
                <w:lang w:val="es-CO"/>
              </w:rPr>
            </w:pPr>
            <w:r w:rsidRPr="00912900">
              <w:rPr>
                <w:rFonts w:ascii="Verdana" w:hAnsi="Verdana" w:cs="Arial"/>
                <w:bCs/>
                <w:color w:val="000000" w:themeColor="text1"/>
                <w:lang w:val="es-CO"/>
              </w:rPr>
              <w:t>En este caso, los derechos reclamados se originan en una relación laboral XXXXX, desempeñando el cargo de XXXX.</w:t>
            </w:r>
          </w:p>
          <w:p w14:paraId="73832C23" w14:textId="77777777" w:rsidR="00912900" w:rsidRPr="00912900" w:rsidRDefault="00912900" w:rsidP="00912900">
            <w:pPr>
              <w:spacing w:line="240" w:lineRule="auto"/>
              <w:jc w:val="both"/>
              <w:rPr>
                <w:rFonts w:ascii="Verdana" w:hAnsi="Verdana" w:cs="Arial"/>
                <w:bCs/>
                <w:color w:val="000000" w:themeColor="text1"/>
                <w:lang w:val="es-CO"/>
              </w:rPr>
            </w:pPr>
            <w:r w:rsidRPr="00912900">
              <w:rPr>
                <w:rFonts w:ascii="Verdana" w:hAnsi="Verdana" w:cs="Arial"/>
                <w:bCs/>
                <w:color w:val="000000" w:themeColor="text1"/>
                <w:lang w:val="es-CO"/>
              </w:rPr>
              <w:t>La materia se rige por el artículo 488 del Código Sustantivo del Trabajo, que fija el término para reclamar derechos laborales, y por el artículo 41 del Decreto 3135 de 1968 —reglamentado por el artículo 102 del Decreto 1848 de 1969—, que regulan la integración de la seguridad social y el régimen prestacional del sector público.</w:t>
            </w:r>
          </w:p>
          <w:p w14:paraId="0A413B38" w14:textId="77777777" w:rsidR="00912900" w:rsidRPr="00912900" w:rsidRDefault="00912900" w:rsidP="00912900">
            <w:pPr>
              <w:spacing w:line="240" w:lineRule="auto"/>
              <w:jc w:val="both"/>
              <w:rPr>
                <w:rFonts w:ascii="Verdana" w:hAnsi="Verdana" w:cs="Arial"/>
                <w:bCs/>
                <w:color w:val="000000" w:themeColor="text1"/>
                <w:lang w:val="es-CO"/>
              </w:rPr>
            </w:pPr>
            <w:r w:rsidRPr="00912900">
              <w:rPr>
                <w:rFonts w:ascii="Verdana" w:hAnsi="Verdana" w:cs="Arial"/>
                <w:bCs/>
                <w:color w:val="000000" w:themeColor="text1"/>
                <w:lang w:val="es-CO"/>
              </w:rPr>
              <w:t>Según la jurisprudencia, la solicitud de declaración de existencia de relación laboral debe presentarse dentro de los tres años siguientes a la terminación del vínculo contractual.</w:t>
            </w:r>
          </w:p>
          <w:p w14:paraId="16A5E3DF" w14:textId="04808BAC" w:rsidR="00912900" w:rsidRPr="00912900" w:rsidRDefault="00912900" w:rsidP="00912900">
            <w:pPr>
              <w:spacing w:line="240" w:lineRule="auto"/>
              <w:jc w:val="both"/>
              <w:rPr>
                <w:rFonts w:ascii="Verdana" w:hAnsi="Verdana" w:cs="Arial"/>
                <w:bCs/>
                <w:color w:val="000000" w:themeColor="text1"/>
                <w:lang w:val="es-CO"/>
              </w:rPr>
            </w:pPr>
            <w:r w:rsidRPr="00912900">
              <w:rPr>
                <w:rFonts w:ascii="Verdana" w:hAnsi="Verdana" w:cs="Arial"/>
                <w:bCs/>
                <w:color w:val="000000" w:themeColor="text1"/>
                <w:lang w:val="es-CO"/>
              </w:rPr>
              <w:t xml:space="preserve">Por otro lado, se advierte en el expediente que la demanda fue presentada el XXXX; en consecuencia, entre la terminación del vínculo contractual de la </w:t>
            </w:r>
            <w:proofErr w:type="gramStart"/>
            <w:r>
              <w:rPr>
                <w:rFonts w:ascii="Verdana" w:hAnsi="Verdana" w:cs="Arial"/>
                <w:bCs/>
                <w:color w:val="000000" w:themeColor="text1"/>
                <w:lang w:val="es-CO"/>
              </w:rPr>
              <w:t xml:space="preserve">demandante </w:t>
            </w:r>
            <w:r w:rsidRPr="00912900">
              <w:rPr>
                <w:rFonts w:ascii="Verdana" w:hAnsi="Verdana" w:cs="Arial"/>
                <w:bCs/>
                <w:color w:val="000000" w:themeColor="text1"/>
                <w:lang w:val="es-CO"/>
              </w:rPr>
              <w:t xml:space="preserve"> (</w:t>
            </w:r>
            <w:proofErr w:type="gramEnd"/>
            <w:r w:rsidRPr="00912900">
              <w:rPr>
                <w:rFonts w:ascii="Verdana" w:hAnsi="Verdana" w:cs="Arial"/>
                <w:bCs/>
                <w:color w:val="000000" w:themeColor="text1"/>
                <w:lang w:val="es-CO"/>
              </w:rPr>
              <w:t>XXXX) y la radicación de la demanda no transcurrieron más de tres años, por lo que no procede alegar la prescripción de los derechos reclamados.</w:t>
            </w:r>
          </w:p>
          <w:p w14:paraId="752399E8" w14:textId="77777777" w:rsidR="00912900" w:rsidRPr="00912900" w:rsidRDefault="00912900" w:rsidP="00912900">
            <w:pPr>
              <w:spacing w:line="240" w:lineRule="auto"/>
              <w:jc w:val="both"/>
              <w:rPr>
                <w:rFonts w:ascii="Verdana" w:hAnsi="Verdana" w:cs="Arial"/>
                <w:bCs/>
                <w:color w:val="000000" w:themeColor="text1"/>
                <w:lang w:val="es-CO"/>
              </w:rPr>
            </w:pPr>
            <w:r w:rsidRPr="00912900">
              <w:rPr>
                <w:rFonts w:ascii="Verdana" w:hAnsi="Verdana" w:cs="Arial"/>
                <w:bCs/>
                <w:color w:val="000000" w:themeColor="text1"/>
                <w:lang w:val="es-CO"/>
              </w:rPr>
              <w:t>En este contexto, no operó el término prescriptivo trienal previsto en el ordenamiento jurídico laboral colombiano (artículo 151 del CPT), razón por la cual la demanda ordinaria laboral fue presentada oportunamente.</w:t>
            </w:r>
          </w:p>
          <w:p w14:paraId="75B72EAD" w14:textId="3B6C6E7E" w:rsidR="00C434F8" w:rsidRPr="00912900" w:rsidRDefault="00912900" w:rsidP="00A35C22">
            <w:pPr>
              <w:spacing w:after="0" w:line="240" w:lineRule="auto"/>
              <w:ind w:right="333"/>
              <w:jc w:val="both"/>
              <w:rPr>
                <w:rFonts w:ascii="Verdana" w:eastAsia="Times New Roman" w:hAnsi="Verdana" w:cs="Arial"/>
                <w:color w:val="000000" w:themeColor="text1"/>
                <w:lang w:val="es-CO" w:eastAsia="es-ES"/>
              </w:rPr>
            </w:pPr>
            <w:r w:rsidRPr="00912900">
              <w:rPr>
                <w:rFonts w:ascii="Verdana" w:hAnsi="Verdana" w:cs="Arial"/>
                <w:color w:val="000000" w:themeColor="text1"/>
              </w:rPr>
              <w:t>O</w:t>
            </w:r>
            <w:r w:rsidRPr="00912900">
              <w:rPr>
                <w:rFonts w:ascii="Verdana" w:hAnsi="Verdana" w:cs="Arial"/>
                <w:color w:val="000000" w:themeColor="text1"/>
                <w:highlight w:val="yellow"/>
              </w:rPr>
              <w:t>, por el contrario, sí operó el fenómeno de la prescripción, en la medida en que, conforme a las fechas indicadas, transcurrió un lapso superior a tres años entre la terminación del vínculo contractual y la presentación de la demanda, superando el término legal previsto para reclamar los derechos laborales.</w:t>
            </w:r>
          </w:p>
          <w:p w14:paraId="167CF89A" w14:textId="77777777" w:rsidR="00777295" w:rsidRPr="00912900" w:rsidRDefault="00777295" w:rsidP="00777295">
            <w:pPr>
              <w:pStyle w:val="Sinespaciado1"/>
              <w:rPr>
                <w:rFonts w:ascii="Verdana" w:hAnsi="Verdana" w:cs="Arial"/>
                <w:b/>
                <w:color w:val="000000" w:themeColor="text1"/>
                <w:u w:val="single"/>
                <w:lang w:val="es-CO"/>
              </w:rPr>
            </w:pPr>
          </w:p>
          <w:p w14:paraId="39EE4322" w14:textId="77777777" w:rsidR="00777295" w:rsidRPr="00912900" w:rsidRDefault="00777295" w:rsidP="00777295">
            <w:pPr>
              <w:pStyle w:val="Sinespaciado1"/>
              <w:rPr>
                <w:rFonts w:ascii="Verdana" w:hAnsi="Verdana" w:cs="Arial"/>
                <w:b/>
                <w:color w:val="000000" w:themeColor="text1"/>
                <w:u w:val="single"/>
                <w:lang w:val="es-CO"/>
              </w:rPr>
            </w:pPr>
          </w:p>
          <w:p w14:paraId="21D29F6E" w14:textId="5359DFDF" w:rsidR="000D59A8" w:rsidRPr="00912900" w:rsidRDefault="000D59A8" w:rsidP="00777295">
            <w:pPr>
              <w:pStyle w:val="Sinespaciado1"/>
              <w:rPr>
                <w:rFonts w:ascii="Verdana" w:hAnsi="Verdana" w:cs="Arial"/>
                <w:b/>
                <w:color w:val="000000" w:themeColor="text1"/>
                <w:u w:val="single"/>
                <w:lang w:val="it-IT"/>
              </w:rPr>
            </w:pPr>
            <w:r w:rsidRPr="00912900">
              <w:rPr>
                <w:rFonts w:ascii="Verdana" w:hAnsi="Verdana" w:cs="Arial"/>
                <w:b/>
                <w:color w:val="000000" w:themeColor="text1"/>
                <w:u w:val="single"/>
                <w:lang w:val="it-IT"/>
              </w:rPr>
              <w:t>CASO CONCRETO</w:t>
            </w:r>
          </w:p>
          <w:p w14:paraId="283AFE80" w14:textId="77777777" w:rsidR="000D59A8" w:rsidRPr="00912900" w:rsidRDefault="000D59A8" w:rsidP="00A35C22">
            <w:pPr>
              <w:spacing w:after="0" w:line="240" w:lineRule="auto"/>
              <w:rPr>
                <w:rFonts w:ascii="Verdana" w:hAnsi="Verdana" w:cs="Arial"/>
                <w:bCs/>
                <w:color w:val="000000" w:themeColor="text1"/>
                <w:lang w:val="it-IT"/>
              </w:rPr>
            </w:pPr>
          </w:p>
          <w:p w14:paraId="2D89F716" w14:textId="04D35068" w:rsidR="00351EEE" w:rsidRPr="00D86325" w:rsidRDefault="00351EEE" w:rsidP="00A35C22">
            <w:pPr>
              <w:pStyle w:val="Ttulo4"/>
              <w:numPr>
                <w:ilvl w:val="0"/>
                <w:numId w:val="21"/>
              </w:numPr>
              <w:tabs>
                <w:tab w:val="num" w:pos="360"/>
              </w:tabs>
              <w:spacing w:line="240" w:lineRule="auto"/>
              <w:ind w:left="0" w:firstLine="0"/>
              <w:jc w:val="both"/>
              <w:rPr>
                <w:rFonts w:ascii="Verdana" w:hAnsi="Verdana" w:cs="Arial"/>
                <w:b/>
                <w:bCs/>
                <w:i w:val="0"/>
                <w:iCs w:val="0"/>
                <w:color w:val="000000" w:themeColor="text1"/>
              </w:rPr>
            </w:pPr>
            <w:r w:rsidRPr="00D86325">
              <w:rPr>
                <w:rFonts w:ascii="Verdana" w:hAnsi="Verdana" w:cs="Arial"/>
                <w:b/>
                <w:bCs/>
                <w:i w:val="0"/>
                <w:iCs w:val="0"/>
                <w:color w:val="000000" w:themeColor="text1"/>
              </w:rPr>
              <w:t>Aplicación de las normas relativas a la naturaleza del contrato de aportes.</w:t>
            </w:r>
          </w:p>
          <w:p w14:paraId="3544DAC8" w14:textId="77777777" w:rsidR="00351EEE" w:rsidRPr="00D86325" w:rsidRDefault="00351EEE" w:rsidP="00A35C22">
            <w:pPr>
              <w:spacing w:after="0" w:line="240" w:lineRule="auto"/>
              <w:rPr>
                <w:rFonts w:ascii="Verdana" w:hAnsi="Verdana" w:cs="Arial"/>
                <w:bCs/>
                <w:color w:val="000000" w:themeColor="text1"/>
              </w:rPr>
            </w:pPr>
          </w:p>
          <w:p w14:paraId="4BB7123D" w14:textId="38287061" w:rsidR="00A35C22" w:rsidRPr="00D86325" w:rsidRDefault="00A35C22" w:rsidP="00A35C22">
            <w:pPr>
              <w:spacing w:after="0" w:line="240" w:lineRule="auto"/>
              <w:jc w:val="both"/>
              <w:rPr>
                <w:rFonts w:ascii="Verdana" w:hAnsi="Verdana" w:cs="Arial"/>
                <w:bCs/>
                <w:color w:val="000000" w:themeColor="text1"/>
              </w:rPr>
            </w:pPr>
            <w:r w:rsidRPr="00D86325">
              <w:rPr>
                <w:rFonts w:ascii="Verdana" w:hAnsi="Verdana" w:cs="Arial"/>
                <w:bCs/>
                <w:color w:val="000000" w:themeColor="text1"/>
              </w:rPr>
              <w:t>Existen varios pronunciamientos vinculantes y obligatorios, que reiteran que la existencia de un contrato de aportes sí excluye la aplicación de la responsabilidad solidaria prevista en el artículo 34 del CST. Lo anterior, en virtud de los artículos 21, numeral 9 de la Ley 7 de 1979 y artículos 123, 127 y 128 del Decreto Ley 2388 de 1979, disposiciones que fueron desconocidas por el ente accionado y que no fueron objeto de pronunciamiento por el operador de primera instancia</w:t>
            </w:r>
            <w:r w:rsidRPr="00D86325">
              <w:rPr>
                <w:rFonts w:ascii="Verdana" w:hAnsi="Verdana" w:cs="Arial"/>
                <w:b/>
                <w:bCs/>
                <w:color w:val="000000" w:themeColor="text1"/>
              </w:rPr>
              <w:t>.</w:t>
            </w:r>
            <w:r w:rsidRPr="00D86325">
              <w:rPr>
                <w:rFonts w:ascii="Verdana" w:hAnsi="Verdana" w:cs="Arial"/>
                <w:bCs/>
                <w:color w:val="000000" w:themeColor="text1"/>
              </w:rPr>
              <w:t xml:space="preserve"> </w:t>
            </w:r>
          </w:p>
          <w:p w14:paraId="4943848D" w14:textId="77777777" w:rsidR="00A35C22" w:rsidRPr="00D86325" w:rsidRDefault="00A35C22" w:rsidP="00A35C22">
            <w:pPr>
              <w:spacing w:after="0" w:line="240" w:lineRule="auto"/>
              <w:jc w:val="both"/>
              <w:rPr>
                <w:rFonts w:ascii="Verdana" w:hAnsi="Verdana" w:cs="Arial"/>
                <w:bCs/>
                <w:color w:val="000000" w:themeColor="text1"/>
              </w:rPr>
            </w:pPr>
          </w:p>
          <w:p w14:paraId="3E40FF9F" w14:textId="77777777" w:rsidR="00A35C22" w:rsidRPr="00D86325" w:rsidRDefault="00A35C22" w:rsidP="00A35C22">
            <w:pPr>
              <w:spacing w:after="0" w:line="240" w:lineRule="auto"/>
              <w:jc w:val="both"/>
              <w:rPr>
                <w:rFonts w:ascii="Verdana" w:hAnsi="Verdana" w:cs="Arial"/>
                <w:b/>
                <w:bCs/>
                <w:color w:val="000000" w:themeColor="text1"/>
                <w:u w:val="single"/>
              </w:rPr>
            </w:pPr>
            <w:r w:rsidRPr="00D86325">
              <w:rPr>
                <w:rFonts w:ascii="Verdana" w:hAnsi="Verdana" w:cs="Arial"/>
                <w:bCs/>
                <w:color w:val="000000" w:themeColor="text1"/>
              </w:rPr>
              <w:t>Al respecto, conviene citar el contenido de estas normas:</w:t>
            </w:r>
          </w:p>
          <w:p w14:paraId="4426DFD9" w14:textId="77777777" w:rsidR="00A35C22" w:rsidRPr="00D86325" w:rsidRDefault="00A35C22" w:rsidP="00A35C22">
            <w:pPr>
              <w:spacing w:after="0" w:line="240" w:lineRule="auto"/>
              <w:jc w:val="both"/>
              <w:rPr>
                <w:rFonts w:ascii="Verdana" w:hAnsi="Verdana" w:cs="Arial"/>
                <w:bCs/>
                <w:color w:val="000000" w:themeColor="text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088"/>
            </w:tblGrid>
            <w:tr w:rsidR="00777295" w:rsidRPr="00D86325" w14:paraId="6FAC1BBF" w14:textId="77777777" w:rsidTr="001F4360">
              <w:tc>
                <w:tcPr>
                  <w:tcW w:w="2410" w:type="dxa"/>
                </w:tcPr>
                <w:p w14:paraId="6F83EC88" w14:textId="77777777" w:rsidR="00A35C22" w:rsidRPr="00D86325" w:rsidRDefault="00A35C22" w:rsidP="00A35C22">
                  <w:pPr>
                    <w:spacing w:after="0" w:line="240" w:lineRule="auto"/>
                    <w:ind w:right="-141"/>
                    <w:jc w:val="center"/>
                    <w:rPr>
                      <w:rFonts w:ascii="Verdana" w:hAnsi="Verdana" w:cs="Arial"/>
                      <w:b/>
                      <w:color w:val="000000" w:themeColor="text1"/>
                    </w:rPr>
                  </w:pPr>
                  <w:r w:rsidRPr="00D86325">
                    <w:rPr>
                      <w:rFonts w:ascii="Verdana" w:hAnsi="Verdana" w:cs="Arial"/>
                      <w:b/>
                      <w:color w:val="000000" w:themeColor="text1"/>
                    </w:rPr>
                    <w:t>NORMA</w:t>
                  </w:r>
                </w:p>
              </w:tc>
              <w:tc>
                <w:tcPr>
                  <w:tcW w:w="7088" w:type="dxa"/>
                </w:tcPr>
                <w:p w14:paraId="33160AE1" w14:textId="77777777" w:rsidR="00A35C22" w:rsidRPr="00D86325" w:rsidRDefault="00A35C22" w:rsidP="00A35C22">
                  <w:pPr>
                    <w:spacing w:after="0" w:line="240" w:lineRule="auto"/>
                    <w:ind w:right="-141"/>
                    <w:jc w:val="center"/>
                    <w:rPr>
                      <w:rFonts w:ascii="Verdana" w:hAnsi="Verdana" w:cs="Arial"/>
                      <w:b/>
                      <w:color w:val="000000" w:themeColor="text1"/>
                    </w:rPr>
                  </w:pPr>
                  <w:r w:rsidRPr="00D86325">
                    <w:rPr>
                      <w:rFonts w:ascii="Verdana" w:hAnsi="Verdana" w:cs="Arial"/>
                      <w:b/>
                      <w:color w:val="000000" w:themeColor="text1"/>
                    </w:rPr>
                    <w:t>CONTENIDO DE LA NORMA</w:t>
                  </w:r>
                </w:p>
              </w:tc>
            </w:tr>
            <w:tr w:rsidR="00777295" w:rsidRPr="00D86325" w14:paraId="693948C5" w14:textId="77777777" w:rsidTr="001F4360">
              <w:tc>
                <w:tcPr>
                  <w:tcW w:w="2410" w:type="dxa"/>
                </w:tcPr>
                <w:p w14:paraId="38B16F90" w14:textId="77777777" w:rsidR="00A35C22" w:rsidRPr="00D86325" w:rsidRDefault="00A35C22" w:rsidP="00A35C22">
                  <w:pPr>
                    <w:spacing w:after="0" w:line="240" w:lineRule="auto"/>
                    <w:ind w:right="-141"/>
                    <w:jc w:val="center"/>
                    <w:rPr>
                      <w:rFonts w:ascii="Verdana" w:hAnsi="Verdana" w:cs="Arial"/>
                      <w:color w:val="000000" w:themeColor="text1"/>
                    </w:rPr>
                  </w:pPr>
                </w:p>
                <w:p w14:paraId="0A11C6DA" w14:textId="77777777" w:rsidR="00A35C22" w:rsidRPr="00D86325" w:rsidRDefault="00A35C22" w:rsidP="00A35C22">
                  <w:pPr>
                    <w:spacing w:after="0" w:line="240" w:lineRule="auto"/>
                    <w:ind w:right="-141"/>
                    <w:jc w:val="center"/>
                    <w:rPr>
                      <w:rFonts w:ascii="Verdana" w:hAnsi="Verdana" w:cs="Arial"/>
                      <w:color w:val="000000" w:themeColor="text1"/>
                    </w:rPr>
                  </w:pPr>
                  <w:r w:rsidRPr="00D86325">
                    <w:rPr>
                      <w:rFonts w:ascii="Verdana" w:hAnsi="Verdana" w:cs="Arial"/>
                      <w:color w:val="000000" w:themeColor="text1"/>
                    </w:rPr>
                    <w:lastRenderedPageBreak/>
                    <w:t>Artículo 21, numeral 9 de la Ley 7 de 1979</w:t>
                  </w:r>
                </w:p>
              </w:tc>
              <w:tc>
                <w:tcPr>
                  <w:tcW w:w="7088" w:type="dxa"/>
                </w:tcPr>
                <w:p w14:paraId="67063D02" w14:textId="77777777" w:rsidR="00A35C22" w:rsidRPr="00D86325" w:rsidRDefault="00A35C22" w:rsidP="00A35C22">
                  <w:pPr>
                    <w:pStyle w:val="NormalWeb"/>
                    <w:spacing w:before="0" w:beforeAutospacing="0" w:after="0" w:afterAutospacing="0"/>
                    <w:jc w:val="both"/>
                    <w:rPr>
                      <w:rFonts w:ascii="Verdana" w:hAnsi="Verdana" w:cs="Arial"/>
                      <w:color w:val="000000" w:themeColor="text1"/>
                      <w:sz w:val="22"/>
                      <w:szCs w:val="22"/>
                    </w:rPr>
                  </w:pPr>
                  <w:r w:rsidRPr="00D86325">
                    <w:rPr>
                      <w:rFonts w:ascii="Verdana" w:hAnsi="Verdana" w:cs="Arial"/>
                      <w:color w:val="000000" w:themeColor="text1"/>
                      <w:sz w:val="22"/>
                      <w:szCs w:val="22"/>
                    </w:rPr>
                    <w:lastRenderedPageBreak/>
                    <w:t>El Instituto Colombiano de Bienestar Familiar tendrá las siguientes funciones: (…)</w:t>
                  </w:r>
                </w:p>
                <w:p w14:paraId="755F6F2F" w14:textId="77777777" w:rsidR="00A35C22" w:rsidRPr="00D86325" w:rsidRDefault="00A35C22" w:rsidP="00A35C22">
                  <w:pPr>
                    <w:pStyle w:val="NormalWeb"/>
                    <w:spacing w:before="0" w:beforeAutospacing="0" w:after="0" w:afterAutospacing="0"/>
                    <w:jc w:val="both"/>
                    <w:rPr>
                      <w:rFonts w:ascii="Verdana" w:hAnsi="Verdana" w:cs="Arial"/>
                      <w:color w:val="000000" w:themeColor="text1"/>
                      <w:sz w:val="22"/>
                      <w:szCs w:val="22"/>
                    </w:rPr>
                  </w:pPr>
                  <w:r w:rsidRPr="00D86325">
                    <w:rPr>
                      <w:rFonts w:ascii="Verdana" w:hAnsi="Verdana" w:cs="Arial"/>
                      <w:color w:val="000000" w:themeColor="text1"/>
                      <w:sz w:val="22"/>
                      <w:szCs w:val="22"/>
                    </w:rPr>
                    <w:lastRenderedPageBreak/>
                    <w:t xml:space="preserve">9. </w:t>
                  </w:r>
                  <w:r w:rsidRPr="00D86325">
                    <w:rPr>
                      <w:rFonts w:ascii="Verdana" w:hAnsi="Verdana" w:cs="Arial"/>
                      <w:color w:val="000000" w:themeColor="text1"/>
                      <w:sz w:val="22"/>
                      <w:szCs w:val="22"/>
                      <w:u w:val="single"/>
                    </w:rPr>
                    <w:t>Celebrar contratos con personas naturales o jurídicas, públicas o privadas</w:t>
                  </w:r>
                  <w:r w:rsidRPr="00D86325">
                    <w:rPr>
                      <w:rFonts w:ascii="Verdana" w:hAnsi="Verdana" w:cs="Arial"/>
                      <w:color w:val="000000" w:themeColor="text1"/>
                      <w:sz w:val="22"/>
                      <w:szCs w:val="22"/>
                    </w:rPr>
                    <w:t>, nacionales o internacionales para el manejo de sus campañas, de los establecimientos destinados a sus programas y en general para el desarrollo de su objetivo.</w:t>
                  </w:r>
                </w:p>
              </w:tc>
            </w:tr>
            <w:tr w:rsidR="00777295" w:rsidRPr="00D86325" w14:paraId="0BA9F54E" w14:textId="77777777" w:rsidTr="001F4360">
              <w:tc>
                <w:tcPr>
                  <w:tcW w:w="2410" w:type="dxa"/>
                </w:tcPr>
                <w:p w14:paraId="55A9A095" w14:textId="77777777" w:rsidR="00A35C22" w:rsidRPr="00D86325" w:rsidRDefault="00A35C22" w:rsidP="00A35C22">
                  <w:pPr>
                    <w:spacing w:after="0" w:line="240" w:lineRule="auto"/>
                    <w:ind w:right="-141"/>
                    <w:jc w:val="center"/>
                    <w:rPr>
                      <w:rFonts w:ascii="Verdana" w:hAnsi="Verdana" w:cs="Arial"/>
                      <w:color w:val="000000" w:themeColor="text1"/>
                    </w:rPr>
                  </w:pPr>
                </w:p>
                <w:p w14:paraId="678246FF" w14:textId="77777777" w:rsidR="00A35C22" w:rsidRPr="00D86325" w:rsidRDefault="00A35C22" w:rsidP="00A35C22">
                  <w:pPr>
                    <w:spacing w:after="0" w:line="240" w:lineRule="auto"/>
                    <w:ind w:right="-141"/>
                    <w:jc w:val="center"/>
                    <w:rPr>
                      <w:rFonts w:ascii="Verdana" w:hAnsi="Verdana" w:cs="Arial"/>
                      <w:color w:val="000000" w:themeColor="text1"/>
                    </w:rPr>
                  </w:pPr>
                </w:p>
                <w:p w14:paraId="0BEAA0CC" w14:textId="77777777" w:rsidR="00A35C22" w:rsidRPr="00D86325" w:rsidRDefault="00A35C22" w:rsidP="00A35C22">
                  <w:pPr>
                    <w:spacing w:after="0" w:line="240" w:lineRule="auto"/>
                    <w:ind w:right="-141"/>
                    <w:jc w:val="center"/>
                    <w:rPr>
                      <w:rFonts w:ascii="Verdana" w:hAnsi="Verdana" w:cs="Arial"/>
                      <w:color w:val="000000" w:themeColor="text1"/>
                    </w:rPr>
                  </w:pPr>
                </w:p>
                <w:p w14:paraId="432764C3" w14:textId="77777777" w:rsidR="00A35C22" w:rsidRPr="00D86325" w:rsidRDefault="00A35C22" w:rsidP="00A35C22">
                  <w:pPr>
                    <w:spacing w:after="0" w:line="240" w:lineRule="auto"/>
                    <w:ind w:right="-141"/>
                    <w:jc w:val="center"/>
                    <w:rPr>
                      <w:rFonts w:ascii="Verdana" w:hAnsi="Verdana" w:cs="Arial"/>
                      <w:color w:val="000000" w:themeColor="text1"/>
                    </w:rPr>
                  </w:pPr>
                  <w:r w:rsidRPr="00D86325">
                    <w:rPr>
                      <w:rFonts w:ascii="Verdana" w:hAnsi="Verdana" w:cs="Arial"/>
                      <w:color w:val="000000" w:themeColor="text1"/>
                    </w:rPr>
                    <w:t>Artículo 123 del Decreto Ley 2388 de 1979</w:t>
                  </w:r>
                </w:p>
              </w:tc>
              <w:tc>
                <w:tcPr>
                  <w:tcW w:w="7088" w:type="dxa"/>
                </w:tcPr>
                <w:p w14:paraId="59515E96" w14:textId="77777777" w:rsidR="00A35C22" w:rsidRPr="00D86325" w:rsidRDefault="00A35C22" w:rsidP="00A35C22">
                  <w:pPr>
                    <w:spacing w:after="0" w:line="240" w:lineRule="auto"/>
                    <w:jc w:val="both"/>
                    <w:rPr>
                      <w:rFonts w:ascii="Verdana" w:hAnsi="Verdana" w:cs="Arial"/>
                      <w:color w:val="000000" w:themeColor="text1"/>
                      <w:u w:val="single"/>
                      <w:lang w:val="es-CO" w:eastAsia="es-CO"/>
                    </w:rPr>
                  </w:pPr>
                  <w:r w:rsidRPr="00D86325">
                    <w:rPr>
                      <w:rFonts w:ascii="Verdana" w:hAnsi="Verdana" w:cs="Arial"/>
                      <w:color w:val="000000" w:themeColor="text1"/>
                      <w:lang w:val="es-CO" w:eastAsia="es-CO"/>
                    </w:rPr>
                    <w:t>El ICBF, cuando las necesidades del servicio así lo demanden</w:t>
                  </w:r>
                  <w:r w:rsidRPr="00D86325">
                    <w:rPr>
                      <w:rFonts w:ascii="Verdana" w:hAnsi="Verdana" w:cs="Arial"/>
                      <w:b/>
                      <w:color w:val="000000" w:themeColor="text1"/>
                      <w:lang w:val="es-CO" w:eastAsia="es-CO"/>
                    </w:rPr>
                    <w:t xml:space="preserve">, </w:t>
                  </w:r>
                  <w:r w:rsidRPr="00D86325">
                    <w:rPr>
                      <w:rFonts w:ascii="Verdana" w:hAnsi="Verdana" w:cs="Arial"/>
                      <w:color w:val="000000" w:themeColor="text1"/>
                      <w:u w:val="single"/>
                      <w:lang w:val="es-CO" w:eastAsia="es-CO"/>
                    </w:rPr>
                    <w:t>podrá celebrar contratos con personas naturales o jurídicas, nacionales o extranjeras.</w:t>
                  </w:r>
                </w:p>
                <w:p w14:paraId="21A680DA" w14:textId="77777777" w:rsidR="00A35C22" w:rsidRPr="00D86325" w:rsidRDefault="00A35C22" w:rsidP="00A35C22">
                  <w:pPr>
                    <w:spacing w:after="0" w:line="240" w:lineRule="auto"/>
                    <w:jc w:val="both"/>
                    <w:rPr>
                      <w:rFonts w:ascii="Verdana" w:hAnsi="Verdana" w:cs="Arial"/>
                      <w:color w:val="000000" w:themeColor="text1"/>
                      <w:lang w:val="es-CO" w:eastAsia="es-CO"/>
                    </w:rPr>
                  </w:pPr>
                  <w:r w:rsidRPr="00D86325">
                    <w:rPr>
                      <w:rFonts w:ascii="Verdana" w:hAnsi="Verdana" w:cs="Arial"/>
                      <w:color w:val="000000" w:themeColor="text1"/>
                      <w:u w:val="single"/>
                      <w:lang w:val="es-CO" w:eastAsia="es-CO"/>
                    </w:rPr>
                    <w:t>Estos contratos se consideran como administrativos</w:t>
                  </w:r>
                  <w:r w:rsidRPr="00D86325">
                    <w:rPr>
                      <w:rFonts w:ascii="Verdana" w:hAnsi="Verdana" w:cs="Arial"/>
                      <w:color w:val="000000" w:themeColor="text1"/>
                      <w:lang w:val="es-CO" w:eastAsia="es-CO"/>
                    </w:rPr>
                    <w:t xml:space="preserve"> y deben contener, entre otras, las cláusulas que, sobre garantías, caducidad administrativa y reclamaciones diplomáticas, la ley exige para los del Gobierno. La declaratoria de caducidad, llegado el caso, se hará mediante resolución motivada firmada por el director general, y de acuerdo con el procedimiento señalado en el decreto 150 de 1976.</w:t>
                  </w:r>
                </w:p>
              </w:tc>
            </w:tr>
            <w:tr w:rsidR="00777295" w:rsidRPr="00D86325" w14:paraId="22B90979" w14:textId="77777777" w:rsidTr="001F4360">
              <w:tc>
                <w:tcPr>
                  <w:tcW w:w="2410" w:type="dxa"/>
                </w:tcPr>
                <w:p w14:paraId="1234571A" w14:textId="77777777" w:rsidR="00A35C22" w:rsidRPr="00D86325" w:rsidRDefault="00A35C22" w:rsidP="00A35C22">
                  <w:pPr>
                    <w:spacing w:after="0" w:line="240" w:lineRule="auto"/>
                    <w:ind w:right="-141"/>
                    <w:jc w:val="center"/>
                    <w:rPr>
                      <w:rFonts w:ascii="Verdana" w:hAnsi="Verdana" w:cs="Arial"/>
                      <w:color w:val="000000" w:themeColor="text1"/>
                    </w:rPr>
                  </w:pPr>
                </w:p>
                <w:p w14:paraId="7CFE48E6" w14:textId="77777777" w:rsidR="00A35C22" w:rsidRPr="00D86325" w:rsidRDefault="00A35C22" w:rsidP="00A35C22">
                  <w:pPr>
                    <w:spacing w:after="0" w:line="240" w:lineRule="auto"/>
                    <w:ind w:right="-141"/>
                    <w:jc w:val="center"/>
                    <w:rPr>
                      <w:rFonts w:ascii="Verdana" w:hAnsi="Verdana" w:cs="Arial"/>
                      <w:color w:val="000000" w:themeColor="text1"/>
                    </w:rPr>
                  </w:pPr>
                </w:p>
                <w:p w14:paraId="423F9232" w14:textId="77777777" w:rsidR="00A35C22" w:rsidRPr="00D86325" w:rsidRDefault="00A35C22" w:rsidP="00A35C22">
                  <w:pPr>
                    <w:spacing w:after="0" w:line="240" w:lineRule="auto"/>
                    <w:ind w:right="-141"/>
                    <w:jc w:val="center"/>
                    <w:rPr>
                      <w:rFonts w:ascii="Verdana" w:hAnsi="Verdana" w:cs="Arial"/>
                      <w:color w:val="000000" w:themeColor="text1"/>
                    </w:rPr>
                  </w:pPr>
                </w:p>
                <w:p w14:paraId="1BD85EB5" w14:textId="77777777" w:rsidR="00A35C22" w:rsidRPr="00D86325" w:rsidRDefault="00A35C22" w:rsidP="00A35C22">
                  <w:pPr>
                    <w:spacing w:after="0" w:line="240" w:lineRule="auto"/>
                    <w:ind w:right="-141"/>
                    <w:jc w:val="center"/>
                    <w:rPr>
                      <w:rFonts w:ascii="Verdana" w:hAnsi="Verdana" w:cs="Arial"/>
                      <w:color w:val="000000" w:themeColor="text1"/>
                    </w:rPr>
                  </w:pPr>
                  <w:r w:rsidRPr="00D86325">
                    <w:rPr>
                      <w:rFonts w:ascii="Verdana" w:hAnsi="Verdana" w:cs="Arial"/>
                      <w:color w:val="000000" w:themeColor="text1"/>
                    </w:rPr>
                    <w:t>Artículo 127 del Decreto Ley 2388 de 1979</w:t>
                  </w:r>
                </w:p>
              </w:tc>
              <w:tc>
                <w:tcPr>
                  <w:tcW w:w="7088" w:type="dxa"/>
                </w:tcPr>
                <w:p w14:paraId="56B617B9" w14:textId="77777777" w:rsidR="00A35C22" w:rsidRPr="00D86325" w:rsidRDefault="00A35C22" w:rsidP="00A35C22">
                  <w:pPr>
                    <w:spacing w:after="0" w:line="240" w:lineRule="auto"/>
                    <w:jc w:val="both"/>
                    <w:rPr>
                      <w:rFonts w:ascii="Verdana" w:hAnsi="Verdana" w:cs="Arial"/>
                      <w:color w:val="000000" w:themeColor="text1"/>
                    </w:rPr>
                  </w:pPr>
                  <w:r w:rsidRPr="00D86325">
                    <w:rPr>
                      <w:rFonts w:ascii="Verdana" w:hAnsi="Verdana" w:cs="Arial"/>
                      <w:color w:val="000000" w:themeColor="text1"/>
                      <w:u w:val="single"/>
                    </w:rPr>
                    <w:t>Por la naturaleza especial del servicio de bienestar familiar, el ICBF podrá celebrar contratos de aporte</w:t>
                  </w:r>
                  <w:r w:rsidRPr="00D86325">
                    <w:rPr>
                      <w:rFonts w:ascii="Verdana" w:hAnsi="Verdana" w:cs="Arial"/>
                      <w:color w:val="000000" w:themeColor="text1"/>
                    </w:rPr>
                    <w:t>,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w:t>
                  </w:r>
                </w:p>
              </w:tc>
            </w:tr>
            <w:tr w:rsidR="00777295" w:rsidRPr="00D86325" w14:paraId="78C1EC0B" w14:textId="77777777" w:rsidTr="001F4360">
              <w:tc>
                <w:tcPr>
                  <w:tcW w:w="2410" w:type="dxa"/>
                </w:tcPr>
                <w:p w14:paraId="2FAD24B3" w14:textId="77777777" w:rsidR="00A35C22" w:rsidRPr="00D86325" w:rsidRDefault="00A35C22" w:rsidP="00A35C22">
                  <w:pPr>
                    <w:spacing w:after="0" w:line="240" w:lineRule="auto"/>
                    <w:ind w:right="-141"/>
                    <w:jc w:val="center"/>
                    <w:rPr>
                      <w:rFonts w:ascii="Verdana" w:hAnsi="Verdana" w:cs="Arial"/>
                      <w:color w:val="000000" w:themeColor="text1"/>
                    </w:rPr>
                  </w:pPr>
                  <w:r w:rsidRPr="00D86325">
                    <w:rPr>
                      <w:rFonts w:ascii="Verdana" w:hAnsi="Verdana" w:cs="Arial"/>
                      <w:color w:val="000000" w:themeColor="text1"/>
                    </w:rPr>
                    <w:t>Artículo 128 del Decreto Ley 2388 de 1979</w:t>
                  </w:r>
                </w:p>
              </w:tc>
              <w:tc>
                <w:tcPr>
                  <w:tcW w:w="7088" w:type="dxa"/>
                </w:tcPr>
                <w:p w14:paraId="2065B448" w14:textId="77777777" w:rsidR="00A35C22" w:rsidRPr="00D86325" w:rsidRDefault="00A35C22" w:rsidP="00A35C22">
                  <w:pPr>
                    <w:pStyle w:val="NormalWeb"/>
                    <w:spacing w:before="0" w:beforeAutospacing="0" w:after="0" w:afterAutospacing="0"/>
                    <w:jc w:val="both"/>
                    <w:rPr>
                      <w:rFonts w:ascii="Verdana" w:hAnsi="Verdana" w:cs="Arial"/>
                      <w:b/>
                      <w:color w:val="000000" w:themeColor="text1"/>
                      <w:sz w:val="22"/>
                      <w:szCs w:val="22"/>
                      <w:u w:val="single"/>
                    </w:rPr>
                  </w:pPr>
                  <w:r w:rsidRPr="00D86325">
                    <w:rPr>
                      <w:rFonts w:ascii="Verdana" w:hAnsi="Verdana" w:cs="Arial"/>
                      <w:color w:val="000000" w:themeColor="text1"/>
                      <w:sz w:val="22"/>
                      <w:szCs w:val="22"/>
                      <w:u w:val="single"/>
                    </w:rPr>
                    <w:t>Los contratos de aporte que el ICBF celebre para la prestación de los servicios de bienestar familiar solo están sujetos a las cláusulas obligatorias de todo contrato administrativo.</w:t>
                  </w:r>
                  <w:r w:rsidRPr="00D86325">
                    <w:rPr>
                      <w:rFonts w:ascii="Verdana" w:hAnsi="Verdana" w:cs="Arial"/>
                      <w:b/>
                      <w:color w:val="000000" w:themeColor="text1"/>
                      <w:sz w:val="22"/>
                      <w:szCs w:val="22"/>
                    </w:rPr>
                    <w:t xml:space="preserve"> </w:t>
                  </w:r>
                  <w:r w:rsidRPr="00D86325">
                    <w:rPr>
                      <w:rFonts w:ascii="Verdana" w:hAnsi="Verdana" w:cs="Arial"/>
                      <w:color w:val="000000" w:themeColor="text1"/>
                      <w:sz w:val="22"/>
                      <w:szCs w:val="22"/>
                    </w:rPr>
                    <w:t>El Instituto también podrá celebrar contratos innominados y de carácter mixto.</w:t>
                  </w:r>
                </w:p>
              </w:tc>
            </w:tr>
          </w:tbl>
          <w:p w14:paraId="1FFFAF7F" w14:textId="77777777" w:rsidR="000D59A8" w:rsidRPr="00D86325" w:rsidRDefault="000D59A8" w:rsidP="00A35C22">
            <w:pPr>
              <w:spacing w:after="0" w:line="240" w:lineRule="auto"/>
              <w:jc w:val="both"/>
              <w:rPr>
                <w:rFonts w:ascii="Verdana" w:hAnsi="Verdana" w:cs="Arial"/>
                <w:bCs/>
                <w:color w:val="000000" w:themeColor="text1"/>
              </w:rPr>
            </w:pPr>
          </w:p>
          <w:p w14:paraId="4D5222D8" w14:textId="77777777" w:rsidR="00A35C22" w:rsidRPr="00D86325" w:rsidRDefault="00A35C22" w:rsidP="00A35C22">
            <w:pPr>
              <w:spacing w:after="0" w:line="240" w:lineRule="auto"/>
              <w:ind w:right="-141"/>
              <w:jc w:val="both"/>
              <w:rPr>
                <w:rFonts w:ascii="Verdana" w:hAnsi="Verdana" w:cs="Arial"/>
                <w:b/>
                <w:color w:val="000000" w:themeColor="text1"/>
              </w:rPr>
            </w:pPr>
            <w:r w:rsidRPr="00D86325">
              <w:rPr>
                <w:rFonts w:ascii="Verdana" w:hAnsi="Verdana" w:cs="Arial"/>
                <w:color w:val="000000" w:themeColor="text1"/>
              </w:rPr>
              <w:t xml:space="preserve">Bajo una interpretación sistemática de las normas transcritas se concluye que el contrato de aporte que celebra el ICBF ostenta una naturaleza especial y se encuentra sujeto a las normas de derecho público, por lo cual no le son aplicables las disposiciones del derecho individual del trabajo y, en consecuencia, no se predica el conflicto normativo argumentado por el cuerpo colegiado accionado y la responsabilidad solidaria prevista en el artículo 34 del CST. </w:t>
            </w:r>
          </w:p>
          <w:p w14:paraId="7676F6FC" w14:textId="77777777" w:rsidR="00A35C22" w:rsidRPr="00D86325" w:rsidRDefault="00A35C22" w:rsidP="00A35C22">
            <w:pPr>
              <w:spacing w:after="0" w:line="240" w:lineRule="auto"/>
              <w:jc w:val="both"/>
              <w:rPr>
                <w:rFonts w:ascii="Verdana" w:hAnsi="Verdana" w:cs="Arial"/>
                <w:bCs/>
                <w:color w:val="000000" w:themeColor="text1"/>
              </w:rPr>
            </w:pPr>
          </w:p>
          <w:p w14:paraId="2EFC6850" w14:textId="77777777" w:rsidR="000D59A8" w:rsidRPr="00D86325" w:rsidRDefault="000D59A8" w:rsidP="00A35C22">
            <w:pPr>
              <w:spacing w:after="0" w:line="240" w:lineRule="auto"/>
              <w:jc w:val="both"/>
              <w:rPr>
                <w:rFonts w:ascii="Verdana" w:hAnsi="Verdana" w:cs="Arial"/>
                <w:bCs/>
                <w:color w:val="000000" w:themeColor="text1"/>
              </w:rPr>
            </w:pPr>
            <w:r w:rsidRPr="00D86325">
              <w:rPr>
                <w:rFonts w:ascii="Verdana" w:hAnsi="Verdana" w:cs="Arial"/>
                <w:bCs/>
                <w:color w:val="000000" w:themeColor="text1"/>
              </w:rPr>
              <w:t>Atendiendo a la normatividad precedente, a una Institución de utilidad pública o social, se le facilitan los bienes y recursos indispensables para la prestación del servicio total o parcial, y las actividad que éstas cumplen están bajo su exclusiva responsabilidad, y a su vez los Centros Zonales del ICBF las capacitan y orientan en la ejecución del Contrato de Aporte y el buen uso de los recursos, efectuando supervisión y seguimiento del cumplimiento del objeto del contrato y la aplicación de normas técnicas, administrativas y financieras.</w:t>
            </w:r>
          </w:p>
          <w:p w14:paraId="243AA25A" w14:textId="77777777" w:rsidR="000D59A8" w:rsidRPr="00D86325" w:rsidRDefault="000D59A8" w:rsidP="00A35C22">
            <w:pPr>
              <w:spacing w:after="0" w:line="240" w:lineRule="auto"/>
              <w:jc w:val="both"/>
              <w:rPr>
                <w:rFonts w:ascii="Verdana" w:hAnsi="Verdana" w:cs="Arial"/>
                <w:bCs/>
                <w:color w:val="000000" w:themeColor="text1"/>
              </w:rPr>
            </w:pPr>
          </w:p>
          <w:p w14:paraId="78730FA3" w14:textId="20DDA50D" w:rsidR="000D59A8" w:rsidRPr="00D86325" w:rsidRDefault="000D59A8" w:rsidP="00A35C22">
            <w:pPr>
              <w:spacing w:after="0" w:line="240" w:lineRule="auto"/>
              <w:jc w:val="both"/>
              <w:rPr>
                <w:rFonts w:ascii="Verdana" w:hAnsi="Verdana" w:cs="Arial"/>
                <w:bCs/>
                <w:color w:val="000000" w:themeColor="text1"/>
              </w:rPr>
            </w:pPr>
            <w:r w:rsidRPr="00D86325">
              <w:rPr>
                <w:rFonts w:ascii="Verdana" w:hAnsi="Verdana" w:cs="Arial"/>
                <w:bCs/>
                <w:color w:val="000000" w:themeColor="text1"/>
              </w:rPr>
              <w:t xml:space="preserve">En este orden de ideas, y bajo el Contrato de Aporte, el ICBF entrega unos dineros a una Asociación de Padres con el objeto de que brinde atención a </w:t>
            </w:r>
            <w:proofErr w:type="gramStart"/>
            <w:r w:rsidRPr="00D86325">
              <w:rPr>
                <w:rFonts w:ascii="Verdana" w:hAnsi="Verdana" w:cs="Arial"/>
                <w:bCs/>
                <w:color w:val="000000" w:themeColor="text1"/>
              </w:rPr>
              <w:t>niños y niñas</w:t>
            </w:r>
            <w:proofErr w:type="gramEnd"/>
            <w:r w:rsidRPr="00D86325">
              <w:rPr>
                <w:rFonts w:ascii="Verdana" w:hAnsi="Verdana" w:cs="Arial"/>
                <w:bCs/>
                <w:color w:val="000000" w:themeColor="text1"/>
              </w:rPr>
              <w:t xml:space="preserve"> en la Modalidad de Centros de Desarrollo Integral -CDI,</w:t>
            </w:r>
            <w:r w:rsidR="00351EEE" w:rsidRPr="00D86325">
              <w:rPr>
                <w:rFonts w:ascii="Verdana" w:hAnsi="Verdana" w:cs="Arial"/>
                <w:bCs/>
                <w:color w:val="000000" w:themeColor="text1"/>
              </w:rPr>
              <w:t xml:space="preserve"> EAS, etc.</w:t>
            </w:r>
            <w:r w:rsidRPr="00D86325">
              <w:rPr>
                <w:rFonts w:ascii="Verdana" w:hAnsi="Verdana" w:cs="Arial"/>
                <w:bCs/>
                <w:color w:val="000000" w:themeColor="text1"/>
              </w:rPr>
              <w:t xml:space="preserve"> y ésta se responsabiliza del cumplimiento del contrato con personal de su dependencia y posee completa autonomía para manejar todo lo relacionado con sus asuntos legales. </w:t>
            </w:r>
          </w:p>
          <w:p w14:paraId="7D264186" w14:textId="77777777" w:rsidR="00C434F8" w:rsidRPr="00D86325" w:rsidRDefault="00C434F8" w:rsidP="00A35C22">
            <w:pPr>
              <w:spacing w:after="0" w:line="240" w:lineRule="auto"/>
              <w:jc w:val="both"/>
              <w:rPr>
                <w:rFonts w:ascii="Verdana" w:hAnsi="Verdana" w:cs="Arial"/>
                <w:bCs/>
                <w:color w:val="000000" w:themeColor="text1"/>
              </w:rPr>
            </w:pPr>
          </w:p>
          <w:p w14:paraId="3EB48927" w14:textId="77777777" w:rsidR="005626FB" w:rsidRPr="00D86325" w:rsidRDefault="000D59A8" w:rsidP="00A35C22">
            <w:pPr>
              <w:spacing w:after="0" w:line="240" w:lineRule="auto"/>
              <w:jc w:val="both"/>
              <w:rPr>
                <w:rFonts w:ascii="Verdana" w:hAnsi="Verdana" w:cs="Arial"/>
                <w:bCs/>
                <w:color w:val="000000" w:themeColor="text1"/>
              </w:rPr>
            </w:pPr>
            <w:r w:rsidRPr="00D86325">
              <w:rPr>
                <w:rFonts w:ascii="Verdana" w:hAnsi="Verdana" w:cs="Arial"/>
                <w:bCs/>
                <w:color w:val="000000" w:themeColor="text1"/>
              </w:rPr>
              <w:t>Por lo tanto, las obligaciones adquiridas por la Asociación o contratista con terceros (sus trabajadores), se realizan con su total autonomía administrativa y presupuestal.</w:t>
            </w:r>
          </w:p>
          <w:p w14:paraId="70459AA2" w14:textId="77777777" w:rsidR="005626FB" w:rsidRPr="00D86325" w:rsidRDefault="005626FB" w:rsidP="00A35C22">
            <w:pPr>
              <w:spacing w:after="0" w:line="240" w:lineRule="auto"/>
              <w:jc w:val="both"/>
              <w:rPr>
                <w:rFonts w:ascii="Verdana" w:hAnsi="Verdana" w:cs="Arial"/>
                <w:bCs/>
                <w:color w:val="000000" w:themeColor="text1"/>
              </w:rPr>
            </w:pPr>
          </w:p>
          <w:p w14:paraId="3B923784" w14:textId="394A298B" w:rsidR="000D59A8" w:rsidRPr="00D86325" w:rsidRDefault="000D59A8" w:rsidP="00A35C22">
            <w:pPr>
              <w:spacing w:after="0" w:line="240" w:lineRule="auto"/>
              <w:jc w:val="both"/>
              <w:rPr>
                <w:rFonts w:ascii="Verdana" w:hAnsi="Verdana" w:cs="Arial"/>
                <w:bCs/>
                <w:color w:val="000000" w:themeColor="text1"/>
              </w:rPr>
            </w:pPr>
            <w:r w:rsidRPr="00D86325">
              <w:rPr>
                <w:rFonts w:ascii="Verdana" w:hAnsi="Verdana" w:cs="Arial"/>
                <w:bCs/>
                <w:color w:val="000000" w:themeColor="text1"/>
              </w:rPr>
              <w:t xml:space="preserve">Por lo que es claro que unas son las implicaciones derivadas del contrato de aportes de carácter administrativo y otras muy distintas las contrataciones que, en el desarrollo del </w:t>
            </w:r>
            <w:r w:rsidRPr="00D86325">
              <w:rPr>
                <w:rFonts w:ascii="Verdana" w:hAnsi="Verdana" w:cs="Arial"/>
                <w:bCs/>
                <w:color w:val="000000" w:themeColor="text1"/>
              </w:rPr>
              <w:lastRenderedPageBreak/>
              <w:t xml:space="preserve">objeto social, las Asociaciones efectúen con terceros, que jamás configuran vínculo laboral con el ICBF. </w:t>
            </w:r>
          </w:p>
          <w:p w14:paraId="73688D34" w14:textId="77777777" w:rsidR="000D59A8" w:rsidRPr="00CC1354" w:rsidRDefault="000D59A8" w:rsidP="00A35C22">
            <w:pPr>
              <w:spacing w:after="0" w:line="240" w:lineRule="auto"/>
              <w:jc w:val="both"/>
              <w:rPr>
                <w:rFonts w:ascii="Verdana" w:hAnsi="Verdana" w:cs="Arial"/>
                <w:bCs/>
                <w:color w:val="000000" w:themeColor="text1"/>
                <w:lang w:val="es-CO"/>
              </w:rPr>
            </w:pPr>
          </w:p>
          <w:p w14:paraId="3E7B55E6" w14:textId="3E6BE9B3" w:rsidR="00351EEE" w:rsidRPr="00D86325" w:rsidRDefault="00351EEE" w:rsidP="00A35C22">
            <w:pPr>
              <w:pStyle w:val="Prrafodelista"/>
              <w:numPr>
                <w:ilvl w:val="0"/>
                <w:numId w:val="21"/>
              </w:numPr>
              <w:spacing w:after="0" w:line="240" w:lineRule="auto"/>
              <w:jc w:val="both"/>
              <w:rPr>
                <w:rFonts w:ascii="Verdana" w:hAnsi="Verdana" w:cs="Arial"/>
                <w:b/>
                <w:color w:val="000000" w:themeColor="text1"/>
              </w:rPr>
            </w:pPr>
            <w:r w:rsidRPr="00D86325">
              <w:rPr>
                <w:rFonts w:ascii="Verdana" w:hAnsi="Verdana" w:cs="Arial"/>
                <w:b/>
                <w:color w:val="000000" w:themeColor="text1"/>
              </w:rPr>
              <w:t>Del precedente del 10 de octubre de 2018, sentencia de casación SL4430-2018, rad. N.° 54744, proferida por la Sala Laboral de la Corte Suprema de Justicia</w:t>
            </w:r>
          </w:p>
          <w:p w14:paraId="1C9B3D7C" w14:textId="77777777" w:rsidR="00351EEE" w:rsidRPr="00D86325" w:rsidRDefault="00351EEE" w:rsidP="00A35C22">
            <w:pPr>
              <w:spacing w:after="0" w:line="240" w:lineRule="auto"/>
              <w:jc w:val="both"/>
              <w:rPr>
                <w:rFonts w:ascii="Verdana" w:hAnsi="Verdana" w:cs="Arial"/>
                <w:color w:val="000000" w:themeColor="text1"/>
              </w:rPr>
            </w:pPr>
          </w:p>
          <w:p w14:paraId="0A928B3A" w14:textId="77777777" w:rsidR="00351EEE" w:rsidRPr="00D86325" w:rsidRDefault="00351EEE" w:rsidP="00A35C22">
            <w:pPr>
              <w:spacing w:after="0" w:line="240" w:lineRule="auto"/>
              <w:jc w:val="both"/>
              <w:rPr>
                <w:rFonts w:ascii="Verdana" w:hAnsi="Verdana" w:cs="Arial"/>
                <w:color w:val="000000" w:themeColor="text1"/>
              </w:rPr>
            </w:pPr>
            <w:r w:rsidRPr="00D86325">
              <w:rPr>
                <w:rFonts w:ascii="Verdana" w:hAnsi="Verdana" w:cs="Arial"/>
                <w:color w:val="000000" w:themeColor="text1"/>
              </w:rPr>
              <w:t>Conviene precisar que la tesis de la exclusión de la responsabilidad solidaria frente a la celebración de contratos de aportes no es arbitraria, ni caprichosa y, además, fue expuesta por la Sala Laboral de la Corte Suprema de Justicia en la referida sentencia de casación del 10 de octubre de 2018</w:t>
            </w:r>
            <w:r w:rsidRPr="00D86325">
              <w:rPr>
                <w:rStyle w:val="Refdenotaalpie"/>
                <w:rFonts w:ascii="Verdana" w:hAnsi="Verdana" w:cs="Arial"/>
                <w:color w:val="000000" w:themeColor="text1"/>
              </w:rPr>
              <w:footnoteReference w:id="7"/>
            </w:r>
            <w:r w:rsidRPr="00D86325">
              <w:rPr>
                <w:rFonts w:ascii="Verdana" w:hAnsi="Verdana" w:cs="Arial"/>
                <w:color w:val="000000" w:themeColor="text1"/>
              </w:rPr>
              <w:t>, decisión que también fue desconocida por las autoridades accionadas.</w:t>
            </w:r>
          </w:p>
          <w:p w14:paraId="32F3E6FE" w14:textId="77777777" w:rsidR="00351EEE" w:rsidRPr="00D86325" w:rsidRDefault="00351EEE" w:rsidP="00A35C22">
            <w:pPr>
              <w:spacing w:after="0" w:line="240" w:lineRule="auto"/>
              <w:jc w:val="both"/>
              <w:rPr>
                <w:rFonts w:ascii="Verdana" w:hAnsi="Verdana" w:cs="Arial"/>
                <w:color w:val="000000" w:themeColor="text1"/>
              </w:rPr>
            </w:pPr>
          </w:p>
          <w:p w14:paraId="12D076AA"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r w:rsidRPr="00D86325">
              <w:rPr>
                <w:rFonts w:ascii="Verdana" w:hAnsi="Verdana" w:cs="Arial"/>
                <w:color w:val="000000" w:themeColor="text1"/>
                <w:bdr w:val="none" w:sz="0" w:space="0" w:color="auto" w:frame="1"/>
                <w:lang w:val="es-CO" w:eastAsia="es-CO"/>
              </w:rPr>
              <w:t xml:space="preserve">Los hechos que dieron origen a la sentencia </w:t>
            </w:r>
            <w:r w:rsidRPr="00D86325">
              <w:rPr>
                <w:rFonts w:ascii="Verdana" w:hAnsi="Verdana" w:cs="Arial"/>
                <w:color w:val="000000" w:themeColor="text1"/>
              </w:rPr>
              <w:t xml:space="preserve">SL4430-2018, rad. N.° 54744 </w:t>
            </w:r>
            <w:r w:rsidRPr="00D86325">
              <w:rPr>
                <w:rFonts w:ascii="Verdana" w:hAnsi="Verdana" w:cs="Arial"/>
                <w:color w:val="000000" w:themeColor="text1"/>
                <w:bdr w:val="none" w:sz="0" w:space="0" w:color="auto" w:frame="1"/>
                <w:lang w:val="es-CO" w:eastAsia="es-CO"/>
              </w:rPr>
              <w:t xml:space="preserve">de la Corte Suprema se remontan a la demanda interpuesta contra la fundación FUPARCIS y el ICBF, en la cual unos trabajadores de la referida fundación reclamaban de manera solidaria el reintegro a los cargos que desempeñaban hasta el momento en que fueron despedidos, junto con el pago de los salarios y prestaciones correspondientes. </w:t>
            </w:r>
          </w:p>
          <w:p w14:paraId="62651AF7"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p>
          <w:p w14:paraId="5BC8734F"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r w:rsidRPr="00D86325">
              <w:rPr>
                <w:rFonts w:ascii="Verdana" w:hAnsi="Verdana" w:cs="Arial"/>
                <w:color w:val="000000" w:themeColor="text1"/>
                <w:bdr w:val="none" w:sz="0" w:space="0" w:color="auto" w:frame="1"/>
                <w:lang w:val="es-CO" w:eastAsia="es-CO"/>
              </w:rPr>
              <w:t>En primera instancia</w:t>
            </w:r>
            <w:r w:rsidRPr="00D86325">
              <w:rPr>
                <w:rStyle w:val="Refdenotaalpie"/>
                <w:rFonts w:ascii="Verdana" w:hAnsi="Verdana" w:cs="Arial"/>
                <w:color w:val="000000" w:themeColor="text1"/>
                <w:bdr w:val="none" w:sz="0" w:space="0" w:color="auto" w:frame="1"/>
                <w:lang w:val="es-CO" w:eastAsia="es-CO"/>
              </w:rPr>
              <w:footnoteReference w:id="8"/>
            </w:r>
            <w:r w:rsidRPr="00D86325">
              <w:rPr>
                <w:rFonts w:ascii="Verdana" w:hAnsi="Verdana" w:cs="Arial"/>
                <w:color w:val="000000" w:themeColor="text1"/>
                <w:bdr w:val="none" w:sz="0" w:space="0" w:color="auto" w:frame="1"/>
                <w:lang w:val="es-CO" w:eastAsia="es-CO"/>
              </w:rPr>
              <w:t xml:space="preserve"> se condenó a la citada Fundación al pago de las prestaciones sociales reclamadas, y se absolvió al ICBF y a la llamada en garantía la Previsora S.A. de las pretensiones de la demanda, decisión que fue confirmada en segunda instancia</w:t>
            </w:r>
            <w:r w:rsidRPr="00D86325">
              <w:rPr>
                <w:rStyle w:val="Refdenotaalpie"/>
                <w:rFonts w:ascii="Verdana" w:hAnsi="Verdana" w:cs="Arial"/>
                <w:color w:val="000000" w:themeColor="text1"/>
                <w:bdr w:val="none" w:sz="0" w:space="0" w:color="auto" w:frame="1"/>
                <w:lang w:val="es-CO" w:eastAsia="es-CO"/>
              </w:rPr>
              <w:footnoteReference w:id="9"/>
            </w:r>
            <w:r w:rsidRPr="00D86325">
              <w:rPr>
                <w:rFonts w:ascii="Verdana" w:hAnsi="Verdana" w:cs="Arial"/>
                <w:color w:val="000000" w:themeColor="text1"/>
                <w:bdr w:val="none" w:sz="0" w:space="0" w:color="auto" w:frame="1"/>
                <w:lang w:val="es-CO" w:eastAsia="es-CO"/>
              </w:rPr>
              <w:t>.</w:t>
            </w:r>
          </w:p>
          <w:p w14:paraId="33FC8806"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p>
          <w:p w14:paraId="79FB1E5A"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r w:rsidRPr="00D86325">
              <w:rPr>
                <w:rFonts w:ascii="Verdana" w:hAnsi="Verdana" w:cs="Arial"/>
                <w:color w:val="000000" w:themeColor="text1"/>
                <w:bdr w:val="none" w:sz="0" w:space="0" w:color="auto" w:frame="1"/>
                <w:lang w:val="es-CO" w:eastAsia="es-CO"/>
              </w:rPr>
              <w:t xml:space="preserve">El </w:t>
            </w:r>
            <w:r w:rsidRPr="00D86325">
              <w:rPr>
                <w:rFonts w:ascii="Verdana" w:hAnsi="Verdana" w:cs="Arial"/>
                <w:i/>
                <w:color w:val="000000" w:themeColor="text1"/>
                <w:bdr w:val="none" w:sz="0" w:space="0" w:color="auto" w:frame="1"/>
                <w:lang w:val="es-CO" w:eastAsia="es-CO"/>
              </w:rPr>
              <w:t>Ad-quem</w:t>
            </w:r>
            <w:r w:rsidRPr="00D86325">
              <w:rPr>
                <w:rFonts w:ascii="Verdana" w:hAnsi="Verdana" w:cs="Arial"/>
                <w:color w:val="000000" w:themeColor="text1"/>
                <w:bdr w:val="none" w:sz="0" w:space="0" w:color="auto" w:frame="1"/>
                <w:lang w:val="es-CO" w:eastAsia="es-CO"/>
              </w:rPr>
              <w:t xml:space="preserve"> estimó que el ICBF y la Fundación FUPARCIS se vincularon entre sí a través de un contrato de aportes, lo cual descartaba la existencia de una relación laboral entre ellos, así como una relación laboral entre el Instituto y las personas naturales contratadas por dicha fundación. En este sentido, el juez de segunda instancia precisó que no se le podía atribuir al Instituto responsabilidad solidaria, en razón al referido contrato de aportes, puesto que la solidaridad es viable frente a contratos de obra y al ICBF no les son aplicables las normas del derecho individual del trabajo, dada su naturaleza de establecimiento público.  </w:t>
            </w:r>
          </w:p>
          <w:p w14:paraId="31C84A2C"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p>
          <w:p w14:paraId="6BD24DFA"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r w:rsidRPr="00D86325">
              <w:rPr>
                <w:rFonts w:ascii="Verdana" w:hAnsi="Verdana" w:cs="Arial"/>
                <w:color w:val="000000" w:themeColor="text1"/>
                <w:bdr w:val="none" w:sz="0" w:space="0" w:color="auto" w:frame="1"/>
                <w:lang w:val="es-CO" w:eastAsia="es-CO"/>
              </w:rPr>
              <w:t xml:space="preserve">La parte actora presentó recurso de casación contra la sentencia del </w:t>
            </w:r>
            <w:r w:rsidRPr="00D86325">
              <w:rPr>
                <w:rFonts w:ascii="Verdana" w:hAnsi="Verdana" w:cs="Arial"/>
                <w:i/>
                <w:color w:val="000000" w:themeColor="text1"/>
                <w:bdr w:val="none" w:sz="0" w:space="0" w:color="auto" w:frame="1"/>
                <w:lang w:val="es-CO" w:eastAsia="es-CO"/>
              </w:rPr>
              <w:t xml:space="preserve">Ad-quem, </w:t>
            </w:r>
            <w:r w:rsidRPr="00D86325">
              <w:rPr>
                <w:rFonts w:ascii="Verdana" w:hAnsi="Verdana" w:cs="Arial"/>
                <w:color w:val="000000" w:themeColor="text1"/>
                <w:bdr w:val="none" w:sz="0" w:space="0" w:color="auto" w:frame="1"/>
                <w:lang w:val="es-CO" w:eastAsia="es-CO"/>
              </w:rPr>
              <w:t xml:space="preserve">el cual fue resuelto por la Corte Suprema de Justicia en la referida sentencia del 10 de octubre de 2018, SL4430-2018, Rad. N.° 54744. </w:t>
            </w:r>
            <w:r w:rsidRPr="00D86325">
              <w:rPr>
                <w:rFonts w:ascii="Verdana" w:hAnsi="Verdana" w:cs="Arial"/>
                <w:color w:val="000000" w:themeColor="text1"/>
                <w:u w:val="single"/>
                <w:bdr w:val="none" w:sz="0" w:space="0" w:color="auto" w:frame="1"/>
                <w:lang w:val="es-CO" w:eastAsia="es-CO"/>
              </w:rPr>
              <w:t xml:space="preserve">La Alta Corporación decidió no casar la sentencia del Tribunal al estimar que, </w:t>
            </w:r>
            <w:proofErr w:type="gramStart"/>
            <w:r w:rsidRPr="00D86325">
              <w:rPr>
                <w:rFonts w:ascii="Verdana" w:hAnsi="Verdana" w:cs="Arial"/>
                <w:color w:val="000000" w:themeColor="text1"/>
                <w:u w:val="single"/>
                <w:bdr w:val="none" w:sz="0" w:space="0" w:color="auto" w:frame="1"/>
                <w:lang w:val="es-CO" w:eastAsia="es-CO"/>
              </w:rPr>
              <w:t>en razón de</w:t>
            </w:r>
            <w:proofErr w:type="gramEnd"/>
            <w:r w:rsidRPr="00D86325">
              <w:rPr>
                <w:rFonts w:ascii="Verdana" w:hAnsi="Verdana" w:cs="Arial"/>
                <w:color w:val="000000" w:themeColor="text1"/>
                <w:u w:val="single"/>
                <w:bdr w:val="none" w:sz="0" w:space="0" w:color="auto" w:frame="1"/>
                <w:lang w:val="es-CO" w:eastAsia="es-CO"/>
              </w:rPr>
              <w:t xml:space="preserve"> la naturaleza especial del contrato de aportes celebrado entre el ICBF y la Fundación FUPARCIS, no le son aplicables las normas de derecho individual del trabajo y, en consecuencia, no es predicable la responsabilidad solidaria prevista en el artículo 34 del CST</w:t>
            </w:r>
            <w:r w:rsidRPr="00D86325">
              <w:rPr>
                <w:rFonts w:ascii="Verdana" w:hAnsi="Verdana" w:cs="Arial"/>
                <w:color w:val="000000" w:themeColor="text1"/>
                <w:bdr w:val="none" w:sz="0" w:space="0" w:color="auto" w:frame="1"/>
                <w:lang w:val="es-CO" w:eastAsia="es-CO"/>
              </w:rPr>
              <w:t>. Dijo la Corte:</w:t>
            </w:r>
          </w:p>
          <w:p w14:paraId="7E066168"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p>
          <w:p w14:paraId="55D3E112" w14:textId="77777777" w:rsidR="00351EEE" w:rsidRPr="00D86325" w:rsidRDefault="00351EEE" w:rsidP="00A35C22">
            <w:pPr>
              <w:spacing w:after="0" w:line="240" w:lineRule="auto"/>
              <w:ind w:left="708" w:right="850"/>
              <w:jc w:val="both"/>
              <w:rPr>
                <w:rFonts w:ascii="Verdana" w:hAnsi="Verdana" w:cs="Arial"/>
                <w:i/>
                <w:color w:val="000000" w:themeColor="text1"/>
                <w:bdr w:val="none" w:sz="0" w:space="0" w:color="auto" w:frame="1"/>
                <w:lang w:val="es-CO" w:eastAsia="es-CO"/>
              </w:rPr>
            </w:pPr>
            <w:r w:rsidRPr="00D86325">
              <w:rPr>
                <w:rFonts w:ascii="Verdana" w:hAnsi="Verdana" w:cs="Arial"/>
                <w:i/>
                <w:color w:val="000000" w:themeColor="text1"/>
                <w:bdr w:val="none" w:sz="0" w:space="0" w:color="auto" w:frame="1"/>
                <w:lang w:val="es-CO" w:eastAsia="es-CO"/>
              </w:rPr>
              <w:t>“Ahora bien, no obstante que, conforme al texto del artículo 34 del CST y la jurisprudencia citada, el estudio de las dos premisas jurídicas que le sirven de sustento al fallo le daría razón al recurrente</w:t>
            </w:r>
            <w:r w:rsidRPr="00D86325">
              <w:rPr>
                <w:rFonts w:ascii="Verdana" w:hAnsi="Verdana" w:cs="Arial"/>
                <w:i/>
                <w:color w:val="000000" w:themeColor="text1"/>
                <w:u w:val="single"/>
                <w:bdr w:val="none" w:sz="0" w:space="0" w:color="auto" w:frame="1"/>
                <w:lang w:val="es-CO" w:eastAsia="es-CO"/>
              </w:rPr>
              <w:t>, no se casará la sentencia porque la premisa que también le sirve de sustento a la decisión impugnada consistente en que el contrato que las ligó es de carácter administrativo y atípico regulado por los artículos 21 de la Ley 7 de 1979 y 127 del DR. 2388 de 1979, al que no le son aplicables las normas de derecho individual del trabajo, se mantiene incólume en razón a que, ciertamente, por la naturaleza especial del contrato de aportes que ligó a los codemandados y el objeto del contrato, no tiene cabida el artículo 34 del CST</w:t>
            </w:r>
            <w:r w:rsidRPr="00D86325">
              <w:rPr>
                <w:rFonts w:ascii="Verdana" w:hAnsi="Verdana" w:cs="Arial"/>
                <w:i/>
                <w:color w:val="000000" w:themeColor="text1"/>
                <w:bdr w:val="none" w:sz="0" w:space="0" w:color="auto" w:frame="1"/>
                <w:lang w:val="es-CO" w:eastAsia="es-CO"/>
              </w:rPr>
              <w:t xml:space="preserve">…”(subrayado fuera de texto). </w:t>
            </w:r>
          </w:p>
          <w:p w14:paraId="624E486E" w14:textId="77777777" w:rsidR="005626FB" w:rsidRPr="00D86325" w:rsidRDefault="005626FB" w:rsidP="00A35C22">
            <w:pPr>
              <w:spacing w:after="0" w:line="240" w:lineRule="auto"/>
              <w:ind w:left="708" w:right="850"/>
              <w:jc w:val="both"/>
              <w:rPr>
                <w:rFonts w:ascii="Verdana" w:hAnsi="Verdana" w:cs="Arial"/>
                <w:i/>
                <w:color w:val="000000" w:themeColor="text1"/>
                <w:bdr w:val="none" w:sz="0" w:space="0" w:color="auto" w:frame="1"/>
                <w:lang w:val="es-CO" w:eastAsia="es-CO"/>
              </w:rPr>
            </w:pPr>
          </w:p>
          <w:p w14:paraId="6DA5E40C"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r w:rsidRPr="00D86325">
              <w:rPr>
                <w:rFonts w:ascii="Verdana" w:hAnsi="Verdana" w:cs="Arial"/>
                <w:color w:val="000000" w:themeColor="text1"/>
                <w:bdr w:val="none" w:sz="0" w:space="0" w:color="auto" w:frame="1"/>
                <w:lang w:val="es-CO" w:eastAsia="es-CO"/>
              </w:rPr>
              <w:lastRenderedPageBreak/>
              <w:t>Para fundamentar tal decisión, la Corte precisó que: (i) el ICBF es un establecimiento público descentralizado dedicado a la prestación del servicio público de bienestar familiar; (ii) el legislador puede autorizar a las entidades estatales designadas como responsables de la prestación del servicio público para celebrar los contratos pertinentes, como en el caso del ICBF, a través de contratos de aportes; y (iii) el contrato de aportes que celebra el ICBF se trata de una actividad sui generis regulada por normas especiales de derecho público. Frente a este último punto conviene citar textualmente la referida providencia:</w:t>
            </w:r>
          </w:p>
          <w:p w14:paraId="102A8A89" w14:textId="77777777" w:rsidR="00351EEE" w:rsidRPr="00D86325" w:rsidRDefault="00351EEE" w:rsidP="00A35C22">
            <w:pPr>
              <w:spacing w:after="0" w:line="240" w:lineRule="auto"/>
              <w:jc w:val="both"/>
              <w:rPr>
                <w:rFonts w:ascii="Verdana" w:hAnsi="Verdana" w:cs="Arial"/>
                <w:i/>
                <w:color w:val="000000" w:themeColor="text1"/>
                <w:bdr w:val="none" w:sz="0" w:space="0" w:color="auto" w:frame="1"/>
                <w:lang w:val="es-CO" w:eastAsia="es-CO"/>
              </w:rPr>
            </w:pPr>
          </w:p>
          <w:p w14:paraId="4B116C15" w14:textId="77777777" w:rsidR="00351EEE" w:rsidRPr="00D86325" w:rsidRDefault="00351EEE" w:rsidP="00A35C22">
            <w:pPr>
              <w:spacing w:after="0" w:line="240" w:lineRule="auto"/>
              <w:ind w:left="708" w:right="850"/>
              <w:jc w:val="both"/>
              <w:rPr>
                <w:rFonts w:ascii="Verdana" w:hAnsi="Verdana" w:cs="Arial"/>
                <w:i/>
                <w:color w:val="000000" w:themeColor="text1"/>
                <w:bdr w:val="none" w:sz="0" w:space="0" w:color="auto" w:frame="1"/>
                <w:lang w:val="es-CO" w:eastAsia="es-CO"/>
              </w:rPr>
            </w:pPr>
            <w:r w:rsidRPr="00D86325">
              <w:rPr>
                <w:rFonts w:ascii="Verdana" w:hAnsi="Verdana" w:cs="Arial"/>
                <w:i/>
                <w:color w:val="000000" w:themeColor="text1"/>
                <w:bdr w:val="none" w:sz="0" w:space="0" w:color="auto" w:frame="1"/>
                <w:lang w:val="es-CO" w:eastAsia="es-CO"/>
              </w:rPr>
              <w:t xml:space="preserve">“La Sección Tercera del Consejo de Estado ha tenido la oportunidad de analizar la naturaleza, contenido y alcance del contrato estatal de aportes que celebra el ICBF, definiéndole las siguientes características esenciales: i) es un contrato estatal regido por la Ley 80 de 1993; ii) se trata de un negocio jurídico atípico, principal y autónomo; iii) oneroso, solemne y formal al igual que todos los contratos estatales, por cuanto se requiere que medie una contraprestación a favor del contratista; consta por escrito y debe estar suscrito por las partes, en los términos consagrados en el artículo 41 de la Ley 80 de 1993; iv) es bilateral y sinalagmático, en la medida que se desprenden obligaciones y cargas para las dos partes del negocio, esto es, el aportante y el contratista; y v) es conmutativo, toda vez que las prestaciones contenidas en el negocio jurídico son equivalentes, puesto que el contratista asume la prestación de un servicio propio del sistema de bienestar familiar y social a cambio de una contraprestación, al margen de que el contratista pueda ser una institución sin ánimo de lucro. </w:t>
            </w:r>
            <w:r w:rsidRPr="00D86325">
              <w:rPr>
                <w:rFonts w:ascii="Verdana" w:hAnsi="Verdana" w:cs="Arial"/>
                <w:i/>
                <w:color w:val="000000" w:themeColor="text1"/>
                <w:u w:val="single"/>
                <w:bdr w:val="none" w:sz="0" w:space="0" w:color="auto" w:frame="1"/>
                <w:lang w:val="es-CO" w:eastAsia="es-CO"/>
              </w:rPr>
              <w:t>A los que esta Corte agrega que iv) el contratista asume la prestación del servicio público directamente a la comunidad mediante recursos del Estado. Es decir, el objeto del contrato se trata de una actividad sui generis regulada por normas especiales de derecho público y &lt;solo están sujetas a las clausulas obligatorias de todo contrato administrativo&gt;, art. 128 del D. 2388 de 1979, &lt;actividad que se cumple bajo la exclusiva responsabilidad de la institución&gt;, art. 127 ibidem, lo que excluye la aplicación del artículo 34 del CST</w:t>
            </w:r>
            <w:r w:rsidRPr="00D86325">
              <w:rPr>
                <w:rFonts w:ascii="Verdana" w:hAnsi="Verdana" w:cs="Arial"/>
                <w:i/>
                <w:color w:val="000000" w:themeColor="text1"/>
                <w:bdr w:val="none" w:sz="0" w:space="0" w:color="auto" w:frame="1"/>
                <w:lang w:val="es-CO" w:eastAsia="es-CO"/>
              </w:rPr>
              <w:t>”. (Subrayado fuera de texto).</w:t>
            </w:r>
          </w:p>
          <w:p w14:paraId="766C31F3" w14:textId="77777777" w:rsidR="00351EEE" w:rsidRPr="00D86325" w:rsidRDefault="00351EEE" w:rsidP="00A35C22">
            <w:pPr>
              <w:spacing w:after="0" w:line="240" w:lineRule="auto"/>
              <w:ind w:right="850"/>
              <w:jc w:val="both"/>
              <w:rPr>
                <w:rFonts w:ascii="Verdana" w:hAnsi="Verdana" w:cs="Arial"/>
                <w:i/>
                <w:color w:val="000000" w:themeColor="text1"/>
                <w:bdr w:val="none" w:sz="0" w:space="0" w:color="auto" w:frame="1"/>
                <w:lang w:val="es-CO" w:eastAsia="es-CO"/>
              </w:rPr>
            </w:pPr>
          </w:p>
          <w:p w14:paraId="2FC52CB1" w14:textId="77777777" w:rsidR="00351EEE" w:rsidRPr="00D86325" w:rsidRDefault="00351EEE" w:rsidP="00A35C22">
            <w:pPr>
              <w:spacing w:after="0" w:line="240" w:lineRule="auto"/>
              <w:jc w:val="both"/>
              <w:rPr>
                <w:rFonts w:ascii="Verdana" w:hAnsi="Verdana" w:cs="Arial"/>
                <w:color w:val="000000" w:themeColor="text1"/>
                <w:u w:val="single"/>
                <w:bdr w:val="none" w:sz="0" w:space="0" w:color="auto" w:frame="1"/>
                <w:lang w:val="es-CO" w:eastAsia="es-CO"/>
              </w:rPr>
            </w:pPr>
            <w:r w:rsidRPr="00D86325">
              <w:rPr>
                <w:rFonts w:ascii="Verdana" w:hAnsi="Verdana" w:cs="Arial"/>
                <w:color w:val="000000" w:themeColor="text1"/>
                <w:bdr w:val="none" w:sz="0" w:space="0" w:color="auto" w:frame="1"/>
                <w:lang w:val="es-CO" w:eastAsia="es-CO"/>
              </w:rPr>
              <w:t>Del contenido de la sentencia citada, es claro que la Corte Suprema de Justicia determinó de manera inequívoca que los contratos de aportes que celebra el ICBF ostentan una naturaleza especial y se encuentran sujetos al derecho público, por lo cual, no le son aplicables las normas de derecho individual de trabajo y, en consecuencia, no es predicable la responsabilidad solidaria prevista en el artículo 34 del CST.</w:t>
            </w:r>
            <w:r w:rsidRPr="00D86325">
              <w:rPr>
                <w:rFonts w:ascii="Verdana" w:hAnsi="Verdana" w:cs="Arial"/>
                <w:color w:val="000000" w:themeColor="text1"/>
                <w:u w:val="single"/>
                <w:bdr w:val="none" w:sz="0" w:space="0" w:color="auto" w:frame="1"/>
                <w:lang w:val="es-CO" w:eastAsia="es-CO"/>
              </w:rPr>
              <w:t xml:space="preserve"> </w:t>
            </w:r>
          </w:p>
          <w:p w14:paraId="3A504E0E"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p>
          <w:p w14:paraId="35CF3B10" w14:textId="38DBB9D2" w:rsidR="00351EEE" w:rsidRPr="00D86325" w:rsidRDefault="00351EEE" w:rsidP="00A35C22">
            <w:pPr>
              <w:spacing w:after="0" w:line="240" w:lineRule="auto"/>
              <w:jc w:val="both"/>
              <w:rPr>
                <w:rFonts w:ascii="Verdana" w:hAnsi="Verdana" w:cs="Arial"/>
                <w:color w:val="000000" w:themeColor="text1"/>
                <w:u w:val="single"/>
                <w:bdr w:val="none" w:sz="0" w:space="0" w:color="auto" w:frame="1"/>
                <w:lang w:val="es-CO" w:eastAsia="es-CO"/>
              </w:rPr>
            </w:pPr>
            <w:r w:rsidRPr="00D86325">
              <w:rPr>
                <w:rFonts w:ascii="Verdana" w:hAnsi="Verdana" w:cs="Arial"/>
                <w:color w:val="000000" w:themeColor="text1"/>
                <w:u w:val="single"/>
                <w:bdr w:val="none" w:sz="0" w:space="0" w:color="auto" w:frame="1"/>
                <w:lang w:val="es-CO" w:eastAsia="es-CO"/>
              </w:rPr>
              <w:t>Esta sentencia resulta aplicable en el presente caso</w:t>
            </w:r>
            <w:r w:rsidRPr="00D86325">
              <w:rPr>
                <w:rFonts w:ascii="Verdana" w:hAnsi="Verdana" w:cs="Arial"/>
                <w:color w:val="000000" w:themeColor="text1"/>
                <w:u w:val="single"/>
              </w:rPr>
              <w:t xml:space="preserve">, </w:t>
            </w:r>
            <w:r w:rsidRPr="00D86325">
              <w:rPr>
                <w:rFonts w:ascii="Verdana" w:hAnsi="Verdana" w:cs="Arial"/>
                <w:color w:val="000000" w:themeColor="text1"/>
                <w:u w:val="single"/>
                <w:bdr w:val="none" w:sz="0" w:space="0" w:color="auto" w:frame="1"/>
                <w:lang w:val="es-CO" w:eastAsia="es-CO"/>
              </w:rPr>
              <w:t>dada sus similitudes fácticas y jurídicas</w:t>
            </w:r>
            <w:r w:rsidRPr="00D86325">
              <w:rPr>
                <w:rFonts w:ascii="Verdana" w:hAnsi="Verdana" w:cs="Arial"/>
                <w:color w:val="000000" w:themeColor="text1"/>
                <w:bdr w:val="none" w:sz="0" w:space="0" w:color="auto" w:frame="1"/>
                <w:lang w:val="es-CO" w:eastAsia="es-CO"/>
              </w:rPr>
              <w:t xml:space="preserve">. En primer lugar, se trata de un caso en el cual se demanda al ICBF con el fin de que la entidad sea condenada solidariamente al pago de acreencias laborales y prestacionales. En segundo lugar, los debates jurídicos se dan en el marco de los procesos ordinarios laborales ante la jurisdicción ordinaria. Y, en tercer lugar, existe de por medio un contrato de aportes suscrito entre el ICBF y el contratista empleador. </w:t>
            </w:r>
            <w:r w:rsidRPr="00D86325">
              <w:rPr>
                <w:rFonts w:ascii="Verdana" w:hAnsi="Verdana" w:cs="Arial"/>
                <w:color w:val="000000" w:themeColor="text1"/>
                <w:u w:val="single"/>
                <w:bdr w:val="none" w:sz="0" w:space="0" w:color="auto" w:frame="1"/>
                <w:lang w:val="es-CO" w:eastAsia="es-CO"/>
              </w:rPr>
              <w:t>Este último aspecto es el más relevante, puesto que constituye el punto central a partir del cual la Sala de Casación Laboral de la Corte Suprema de Justicia decide excluir la aplicación de la responsabilidad solidaria prevista en el artículo 34 del CST.</w:t>
            </w:r>
          </w:p>
          <w:p w14:paraId="6A19B5B1" w14:textId="77777777" w:rsidR="00351EEE" w:rsidRPr="00D86325" w:rsidRDefault="00351EEE" w:rsidP="00A35C22">
            <w:pPr>
              <w:shd w:val="clear" w:color="auto" w:fill="FFFFFF"/>
              <w:spacing w:after="0" w:line="240" w:lineRule="auto"/>
              <w:jc w:val="both"/>
              <w:textAlignment w:val="baseline"/>
              <w:rPr>
                <w:rFonts w:ascii="Verdana" w:hAnsi="Verdana" w:cs="Arial"/>
                <w:color w:val="000000" w:themeColor="text1"/>
                <w:bdr w:val="none" w:sz="0" w:space="0" w:color="auto" w:frame="1"/>
                <w:lang w:val="es-CO" w:eastAsia="es-CO"/>
              </w:rPr>
            </w:pPr>
          </w:p>
          <w:p w14:paraId="775C422E"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r w:rsidRPr="00D86325">
              <w:rPr>
                <w:rFonts w:ascii="Verdana" w:hAnsi="Verdana" w:cs="Arial"/>
                <w:color w:val="000000" w:themeColor="text1"/>
                <w:bdr w:val="none" w:sz="0" w:space="0" w:color="auto" w:frame="1"/>
                <w:lang w:val="es-CO" w:eastAsia="es-CO"/>
              </w:rPr>
              <w:t>De otra parte, conviene resaltar que la tesis expuesta por la Corte Suprema de Justicia de ninguna manera socava los derechos fundamentales de los trabajadores y tampoco desconoce postulados constitucionales, pues simplemente precisa que, en el marco de los contratos de aportes que celebra el ICBF no resulta aplicable la responsabilidad solidaria prevista en el artículo 34 del CST, en atención a las particularidades de dicho contrato.</w:t>
            </w:r>
          </w:p>
          <w:p w14:paraId="2963DAB8" w14:textId="77777777" w:rsidR="00351EEE" w:rsidRPr="00D86325" w:rsidRDefault="00351EEE" w:rsidP="00A35C22">
            <w:pPr>
              <w:spacing w:after="0" w:line="240" w:lineRule="auto"/>
              <w:jc w:val="both"/>
              <w:rPr>
                <w:rFonts w:ascii="Verdana" w:hAnsi="Verdana" w:cs="Arial"/>
                <w:color w:val="000000" w:themeColor="text1"/>
                <w:highlight w:val="yellow"/>
                <w:bdr w:val="none" w:sz="0" w:space="0" w:color="auto" w:frame="1"/>
                <w:lang w:val="es-CO" w:eastAsia="es-CO"/>
              </w:rPr>
            </w:pPr>
          </w:p>
          <w:p w14:paraId="76CA8FFE" w14:textId="77777777" w:rsidR="00351EEE" w:rsidRPr="00D86325" w:rsidRDefault="00351EEE" w:rsidP="00A35C22">
            <w:pPr>
              <w:spacing w:after="0" w:line="240" w:lineRule="auto"/>
              <w:jc w:val="both"/>
              <w:rPr>
                <w:rFonts w:ascii="Verdana" w:hAnsi="Verdana" w:cs="Arial"/>
                <w:color w:val="000000" w:themeColor="text1"/>
                <w:bdr w:val="none" w:sz="0" w:space="0" w:color="auto" w:frame="1"/>
                <w:lang w:val="es-CO" w:eastAsia="es-CO"/>
              </w:rPr>
            </w:pPr>
            <w:r w:rsidRPr="00D86325">
              <w:rPr>
                <w:rFonts w:ascii="Verdana" w:hAnsi="Verdana" w:cs="Arial"/>
                <w:color w:val="000000" w:themeColor="text1"/>
                <w:bdr w:val="none" w:sz="0" w:space="0" w:color="auto" w:frame="1"/>
                <w:lang w:val="es-CO" w:eastAsia="es-CO"/>
              </w:rPr>
              <w:t xml:space="preserve">Sobre este punto, el Instituto aclara que no pretende desconocer ni controvertir la relación contractual que existió entre las demandantes y la asociación, ni tampoco los derechos que se derivaron de dicha relación y que le corresponden garantizar a los entes o personas </w:t>
            </w:r>
            <w:r w:rsidRPr="00D86325">
              <w:rPr>
                <w:rFonts w:ascii="Verdana" w:hAnsi="Verdana" w:cs="Arial"/>
                <w:color w:val="000000" w:themeColor="text1"/>
                <w:bdr w:val="none" w:sz="0" w:space="0" w:color="auto" w:frame="1"/>
                <w:lang w:val="es-CO" w:eastAsia="es-CO"/>
              </w:rPr>
              <w:lastRenderedPageBreak/>
              <w:t>que integraron dicha asociación y contrataron a las demandantes en el proceso ordinario. El ICBF simplemente advierte la exclusión de la responsabilidad solidaria en estos casos específicos, de conformidad con el precedente de la Corte Suprema de Justicia.</w:t>
            </w:r>
          </w:p>
          <w:p w14:paraId="5AF88009" w14:textId="5379F2B6" w:rsidR="00351EEE" w:rsidRPr="00D86325" w:rsidRDefault="00351EEE" w:rsidP="00A35C22">
            <w:pPr>
              <w:spacing w:after="0" w:line="240" w:lineRule="auto"/>
              <w:jc w:val="both"/>
              <w:rPr>
                <w:rFonts w:ascii="Verdana" w:hAnsi="Verdana" w:cs="Arial"/>
                <w:bCs/>
                <w:color w:val="000000" w:themeColor="text1"/>
              </w:rPr>
            </w:pPr>
          </w:p>
          <w:p w14:paraId="728F9AFE" w14:textId="77777777" w:rsidR="00351EEE" w:rsidRPr="00D86325" w:rsidRDefault="00351EEE" w:rsidP="00A35C22">
            <w:pPr>
              <w:spacing w:after="0" w:line="240" w:lineRule="auto"/>
              <w:jc w:val="both"/>
              <w:rPr>
                <w:rFonts w:ascii="Verdana" w:hAnsi="Verdana" w:cs="Arial"/>
                <w:bCs/>
                <w:color w:val="000000" w:themeColor="text1"/>
              </w:rPr>
            </w:pPr>
          </w:p>
          <w:p w14:paraId="286C758D" w14:textId="27C7CFF2" w:rsidR="00941A67" w:rsidRPr="00D86325" w:rsidRDefault="00A35C22" w:rsidP="00A35C22">
            <w:pPr>
              <w:pStyle w:val="Ttulo4"/>
              <w:numPr>
                <w:ilvl w:val="0"/>
                <w:numId w:val="21"/>
              </w:numPr>
              <w:spacing w:before="0" w:line="240" w:lineRule="auto"/>
              <w:contextualSpacing/>
              <w:jc w:val="both"/>
              <w:rPr>
                <w:rFonts w:ascii="Verdana" w:hAnsi="Verdana" w:cs="Arial"/>
                <w:b/>
                <w:bCs/>
                <w:color w:val="000000" w:themeColor="text1"/>
              </w:rPr>
            </w:pPr>
            <w:r w:rsidRPr="00D86325">
              <w:rPr>
                <w:rFonts w:ascii="Verdana" w:hAnsi="Verdana" w:cs="Arial"/>
                <w:b/>
                <w:bCs/>
                <w:color w:val="000000" w:themeColor="text1"/>
              </w:rPr>
              <w:t>Decisiones judiciales</w:t>
            </w:r>
            <w:r w:rsidR="00941A67" w:rsidRPr="00D86325">
              <w:rPr>
                <w:rFonts w:ascii="Verdana" w:hAnsi="Verdana" w:cs="Arial"/>
                <w:b/>
                <w:bCs/>
                <w:color w:val="000000" w:themeColor="text1"/>
              </w:rPr>
              <w:t xml:space="preserve"> en las que se reafirma la fuerza vinculante de la sentencia de casación SL4430-2018, rad. N.° 54744, proferida el 10 de octubre de 2018 por la Sala Laboral de la Corte Suprema de Justicia</w:t>
            </w:r>
          </w:p>
          <w:p w14:paraId="63E65B3E" w14:textId="77777777" w:rsidR="00941A67" w:rsidRPr="00D86325" w:rsidRDefault="00941A67" w:rsidP="00A35C22">
            <w:pPr>
              <w:spacing w:after="0" w:line="240" w:lineRule="auto"/>
              <w:jc w:val="both"/>
              <w:rPr>
                <w:rFonts w:ascii="Verdana" w:hAnsi="Verdana" w:cs="Arial"/>
                <w:color w:val="000000" w:themeColor="text1"/>
                <w:lang w:val="es-CO" w:eastAsia="es-CO"/>
              </w:rPr>
            </w:pPr>
          </w:p>
          <w:p w14:paraId="17475323" w14:textId="77777777" w:rsidR="00941A67" w:rsidRPr="00D86325" w:rsidRDefault="00941A67" w:rsidP="00A35C22">
            <w:pPr>
              <w:spacing w:after="0" w:line="240" w:lineRule="auto"/>
              <w:jc w:val="both"/>
              <w:rPr>
                <w:rFonts w:ascii="Verdana" w:hAnsi="Verdana" w:cs="Arial"/>
                <w:color w:val="000000" w:themeColor="text1"/>
              </w:rPr>
            </w:pPr>
            <w:r w:rsidRPr="00D86325">
              <w:rPr>
                <w:rFonts w:ascii="Verdana" w:hAnsi="Verdana" w:cs="Arial"/>
                <w:color w:val="000000" w:themeColor="text1"/>
                <w:lang w:val="es-CO"/>
              </w:rPr>
              <w:t xml:space="preserve">Relacionado con lo expuesto en el acápite del defecto alegado, se </w:t>
            </w:r>
            <w:r w:rsidRPr="00D86325">
              <w:rPr>
                <w:rFonts w:ascii="Verdana" w:hAnsi="Verdana" w:cs="Arial"/>
                <w:color w:val="000000" w:themeColor="text1"/>
              </w:rPr>
              <w:t xml:space="preserve">resalta que la Corte Suprema de Justicia ha tutelado en varias oportunidades el derecho al debido proceso del ICBF frente a providencias judiciales en las que también se ha desconocido el precedente fijado por la Alta Corporación en la sentencia de casación SL4430-2018, rad. N.° 54744, proferida el 10 de octubre de 2018 por su Sala de Casación Laboral. Entre estas se destacan las siguientes: </w:t>
            </w:r>
          </w:p>
          <w:p w14:paraId="264D11A0" w14:textId="77777777" w:rsidR="00941A67" w:rsidRPr="00D86325" w:rsidRDefault="00941A67" w:rsidP="00A35C22">
            <w:pPr>
              <w:spacing w:after="0" w:line="240" w:lineRule="auto"/>
              <w:jc w:val="both"/>
              <w:rPr>
                <w:rFonts w:ascii="Verdana" w:hAnsi="Verdana" w:cs="Arial"/>
                <w:color w:val="000000" w:themeColor="text1"/>
              </w:rPr>
            </w:pPr>
          </w:p>
          <w:p w14:paraId="75A9EB88" w14:textId="77777777" w:rsidR="00941A67" w:rsidRPr="00D86325" w:rsidRDefault="00941A67" w:rsidP="00A35C22">
            <w:pPr>
              <w:numPr>
                <w:ilvl w:val="0"/>
                <w:numId w:val="24"/>
              </w:numPr>
              <w:spacing w:after="0" w:line="240" w:lineRule="auto"/>
              <w:jc w:val="both"/>
              <w:rPr>
                <w:rFonts w:ascii="Verdana" w:hAnsi="Verdana" w:cs="Arial"/>
                <w:color w:val="000000" w:themeColor="text1"/>
              </w:rPr>
            </w:pPr>
            <w:r w:rsidRPr="00D86325">
              <w:rPr>
                <w:rFonts w:ascii="Verdana" w:hAnsi="Verdana" w:cs="Arial"/>
                <w:color w:val="000000" w:themeColor="text1"/>
                <w:u w:val="single"/>
              </w:rPr>
              <w:t>Sentencia de tutela del 18 de noviembre de 2019</w:t>
            </w:r>
            <w:r w:rsidRPr="00D86325">
              <w:rPr>
                <w:rStyle w:val="Refdenotaalpie"/>
                <w:rFonts w:ascii="Verdana" w:hAnsi="Verdana" w:cs="Arial"/>
                <w:color w:val="000000" w:themeColor="text1"/>
              </w:rPr>
              <w:footnoteReference w:id="10"/>
            </w:r>
            <w:r w:rsidRPr="00D86325">
              <w:rPr>
                <w:rFonts w:ascii="Verdana" w:hAnsi="Verdana" w:cs="Arial"/>
                <w:color w:val="000000" w:themeColor="text1"/>
              </w:rPr>
              <w:t>, en esta la Sala Laboral de la Corte Suprema de Justicia revocó una sentencia proferida por el Tribunal Superior de Quibdó que desconoció el precedente vertical del 10 de octubre de 2018, SL4430-2018, rad. N.° 54744, dictado por la Alta Corporación.</w:t>
            </w:r>
          </w:p>
          <w:p w14:paraId="12BDBA65" w14:textId="77777777" w:rsidR="00941A67" w:rsidRPr="00D86325" w:rsidRDefault="00941A67" w:rsidP="00A35C22">
            <w:pPr>
              <w:spacing w:after="0" w:line="240" w:lineRule="auto"/>
              <w:jc w:val="both"/>
              <w:rPr>
                <w:rFonts w:ascii="Verdana" w:hAnsi="Verdana" w:cs="Arial"/>
                <w:color w:val="000000" w:themeColor="text1"/>
              </w:rPr>
            </w:pPr>
          </w:p>
          <w:p w14:paraId="13A45D15" w14:textId="77777777" w:rsidR="00941A67" w:rsidRPr="00D86325" w:rsidRDefault="00941A67" w:rsidP="00A35C22">
            <w:pPr>
              <w:spacing w:after="0" w:line="240" w:lineRule="auto"/>
              <w:jc w:val="both"/>
              <w:rPr>
                <w:rFonts w:ascii="Verdana" w:hAnsi="Verdana" w:cs="Arial"/>
                <w:i/>
                <w:color w:val="000000" w:themeColor="text1"/>
              </w:rPr>
            </w:pPr>
            <w:r w:rsidRPr="00D86325">
              <w:rPr>
                <w:rFonts w:ascii="Verdana" w:hAnsi="Verdana" w:cs="Arial"/>
                <w:color w:val="000000" w:themeColor="text1"/>
              </w:rPr>
              <w:t xml:space="preserve">En dicha sentencia de tutela, la Corte Suprema dejó sin efectos la providencia cuestionada al encontrar que el Tribunal de Quibdó incurrió en un defecto sustantivo por desconocimiento del precedente judicial </w:t>
            </w:r>
            <w:r w:rsidRPr="00D86325">
              <w:rPr>
                <w:rFonts w:ascii="Verdana" w:hAnsi="Verdana" w:cs="Arial"/>
                <w:i/>
                <w:color w:val="000000" w:themeColor="text1"/>
              </w:rPr>
              <w:t xml:space="preserve">“toda vez que, </w:t>
            </w:r>
            <w:r w:rsidRPr="00D86325">
              <w:rPr>
                <w:rFonts w:ascii="Verdana" w:hAnsi="Verdana" w:cs="Arial"/>
                <w:b/>
                <w:i/>
                <w:color w:val="000000" w:themeColor="text1"/>
                <w:u w:val="single"/>
              </w:rPr>
              <w:t>para este caso en particular, es claro que actualmente la postura de la Sala es que el ICBF no debe asumir de manera solidaria frente al marco de un contrato de aportes suscrito con una fundación</w:t>
            </w:r>
            <w:r w:rsidRPr="00D86325">
              <w:rPr>
                <w:rFonts w:ascii="Verdana" w:hAnsi="Verdana" w:cs="Arial"/>
                <w:i/>
                <w:color w:val="000000" w:themeColor="text1"/>
              </w:rPr>
              <w:t>, tal y como quedó plasmado en la sentencia anteriormente citada”. (subrayado fuera de texto).</w:t>
            </w:r>
          </w:p>
          <w:p w14:paraId="23939E6F" w14:textId="77777777" w:rsidR="00941A67" w:rsidRPr="00D86325" w:rsidRDefault="00941A67" w:rsidP="00A35C22">
            <w:pPr>
              <w:spacing w:after="0" w:line="240" w:lineRule="auto"/>
              <w:jc w:val="both"/>
              <w:rPr>
                <w:rFonts w:ascii="Verdana" w:hAnsi="Verdana" w:cs="Arial"/>
                <w:i/>
                <w:color w:val="000000" w:themeColor="text1"/>
              </w:rPr>
            </w:pPr>
          </w:p>
          <w:p w14:paraId="7131DDD1" w14:textId="77777777" w:rsidR="00941A67" w:rsidRPr="00D86325" w:rsidRDefault="00941A67" w:rsidP="00A35C22">
            <w:pPr>
              <w:spacing w:after="0" w:line="240" w:lineRule="auto"/>
              <w:jc w:val="both"/>
              <w:rPr>
                <w:rFonts w:ascii="Verdana" w:hAnsi="Verdana" w:cs="Arial"/>
                <w:b/>
                <w:color w:val="000000" w:themeColor="text1"/>
                <w:u w:val="single"/>
              </w:rPr>
            </w:pPr>
            <w:r w:rsidRPr="00D86325">
              <w:rPr>
                <w:rFonts w:ascii="Verdana" w:hAnsi="Verdana" w:cs="Arial"/>
                <w:color w:val="000000" w:themeColor="text1"/>
              </w:rPr>
              <w:t xml:space="preserve">Asimismo, la Corte resaltó el respeto al precedente judicial en los siguientes términos: </w:t>
            </w:r>
            <w:r w:rsidRPr="00D86325">
              <w:rPr>
                <w:rFonts w:ascii="Verdana" w:hAnsi="Verdana" w:cs="Arial"/>
                <w:i/>
                <w:color w:val="000000" w:themeColor="text1"/>
              </w:rPr>
              <w:t xml:space="preserve">“…si bien es cierto que el juez puede apartarse del mismo, no lo es menos que para ello debe efectuar una argumentación suficiente de las razones de su disentimiento, para de esa manera no conllevar a la existencia de un defecto sustantivo en una decisión judicial, </w:t>
            </w:r>
            <w:r w:rsidRPr="00D86325">
              <w:rPr>
                <w:rFonts w:ascii="Verdana" w:hAnsi="Verdana" w:cs="Arial"/>
                <w:b/>
                <w:i/>
                <w:color w:val="000000" w:themeColor="text1"/>
                <w:u w:val="single"/>
              </w:rPr>
              <w:t xml:space="preserve">en la medida en que el respeto al precedente es una obligación de todas las autoridades judiciales, dada su fuerza vinculante y su relación con la protección de los derechos al debido proceso e igualdad” </w:t>
            </w:r>
            <w:r w:rsidRPr="00D86325">
              <w:rPr>
                <w:rFonts w:ascii="Verdana" w:hAnsi="Verdana" w:cs="Arial"/>
                <w:i/>
                <w:color w:val="000000" w:themeColor="text1"/>
              </w:rPr>
              <w:t>(subrayado fuera de texto).</w:t>
            </w:r>
          </w:p>
          <w:p w14:paraId="21177E6F" w14:textId="77777777" w:rsidR="00941A67" w:rsidRPr="00D86325" w:rsidRDefault="00941A67" w:rsidP="00A35C22">
            <w:pPr>
              <w:spacing w:after="0" w:line="240" w:lineRule="auto"/>
              <w:jc w:val="both"/>
              <w:rPr>
                <w:rFonts w:ascii="Verdana" w:hAnsi="Verdana" w:cs="Arial"/>
                <w:color w:val="000000" w:themeColor="text1"/>
              </w:rPr>
            </w:pPr>
          </w:p>
          <w:p w14:paraId="1D5A2432" w14:textId="77777777" w:rsidR="00941A67" w:rsidRPr="00D86325" w:rsidRDefault="00941A67" w:rsidP="00A35C22">
            <w:pPr>
              <w:numPr>
                <w:ilvl w:val="0"/>
                <w:numId w:val="24"/>
              </w:numPr>
              <w:spacing w:after="0" w:line="240" w:lineRule="auto"/>
              <w:jc w:val="both"/>
              <w:rPr>
                <w:rFonts w:ascii="Verdana" w:hAnsi="Verdana" w:cs="Arial"/>
                <w:color w:val="000000" w:themeColor="text1"/>
              </w:rPr>
            </w:pPr>
            <w:r w:rsidRPr="00D86325">
              <w:rPr>
                <w:rFonts w:ascii="Verdana" w:hAnsi="Verdana" w:cs="Arial"/>
                <w:color w:val="000000" w:themeColor="text1"/>
                <w:u w:val="single"/>
              </w:rPr>
              <w:t>Sentencia de tutela del 16 de diciembre de 2020</w:t>
            </w:r>
            <w:r w:rsidRPr="00D86325">
              <w:rPr>
                <w:rStyle w:val="Refdenotaalpie"/>
                <w:rFonts w:ascii="Verdana" w:hAnsi="Verdana" w:cs="Arial"/>
                <w:color w:val="000000" w:themeColor="text1"/>
              </w:rPr>
              <w:footnoteReference w:id="11"/>
            </w:r>
            <w:r w:rsidRPr="00D86325">
              <w:rPr>
                <w:rFonts w:ascii="Verdana" w:hAnsi="Verdana" w:cs="Arial"/>
                <w:color w:val="000000" w:themeColor="text1"/>
              </w:rPr>
              <w:t xml:space="preserve">, en esta la Sala de Casación Laboral de la Corte Suprema de Justicia confirmó el fallo de tutela proferido por la Sala Laboral del Tribunal Superior de Santa Marta, que concedió el amparo invocado y revocó el fallo de instancia, pues consideró que el funcionario encausado sí incurrió en un error evidente, dado que pasó por alto el precedente jurisprudencial que esta Sala ha consolidado respecto a la inexistencia de solidaridad a cargo del ICBF, por obligaciones que se causen en virtud de un contrato de aportes. </w:t>
            </w:r>
          </w:p>
          <w:p w14:paraId="262B4AA9" w14:textId="77777777" w:rsidR="00941A67" w:rsidRPr="00D86325" w:rsidRDefault="00941A67" w:rsidP="00A35C22">
            <w:pPr>
              <w:spacing w:after="0" w:line="240" w:lineRule="auto"/>
              <w:ind w:left="720"/>
              <w:jc w:val="both"/>
              <w:rPr>
                <w:rFonts w:ascii="Verdana" w:hAnsi="Verdana" w:cs="Arial"/>
                <w:color w:val="000000" w:themeColor="text1"/>
              </w:rPr>
            </w:pPr>
          </w:p>
          <w:p w14:paraId="65DC0D95" w14:textId="77777777" w:rsidR="00941A67" w:rsidRPr="00D86325" w:rsidRDefault="00941A67" w:rsidP="00A35C22">
            <w:pPr>
              <w:spacing w:after="0" w:line="240" w:lineRule="auto"/>
              <w:jc w:val="both"/>
              <w:rPr>
                <w:rFonts w:ascii="Verdana" w:hAnsi="Verdana" w:cs="Arial"/>
                <w:color w:val="000000" w:themeColor="text1"/>
              </w:rPr>
            </w:pPr>
            <w:r w:rsidRPr="00D86325">
              <w:rPr>
                <w:rFonts w:ascii="Verdana" w:hAnsi="Verdana" w:cs="Arial"/>
                <w:color w:val="000000" w:themeColor="text1"/>
              </w:rPr>
              <w:t>La Sala de Casación Laboral precisó que</w:t>
            </w:r>
            <w:r w:rsidRPr="00D86325">
              <w:rPr>
                <w:rFonts w:ascii="Verdana" w:hAnsi="Verdana" w:cs="Arial"/>
                <w:i/>
                <w:iCs/>
                <w:color w:val="000000" w:themeColor="text1"/>
              </w:rPr>
              <w:t xml:space="preserve"> “</w:t>
            </w:r>
            <w:r w:rsidRPr="00D86325">
              <w:rPr>
                <w:rFonts w:ascii="Verdana" w:hAnsi="Verdana" w:cs="Arial"/>
                <w:b/>
                <w:bCs/>
                <w:i/>
                <w:iCs/>
                <w:color w:val="000000" w:themeColor="text1"/>
                <w:u w:val="single"/>
              </w:rPr>
              <w:t>el juez convocado sí incurrió en un error evidente, dado que aplicó de forma equivocada el artículo 34 del Código Sustantivo de Trabajo</w:t>
            </w:r>
            <w:r w:rsidRPr="00D86325">
              <w:rPr>
                <w:rFonts w:ascii="Verdana" w:hAnsi="Verdana" w:cs="Arial"/>
                <w:i/>
                <w:iCs/>
                <w:color w:val="000000" w:themeColor="text1"/>
              </w:rPr>
              <w:t xml:space="preserve"> al caso que analizó </w:t>
            </w:r>
            <w:r w:rsidRPr="00D86325">
              <w:rPr>
                <w:rFonts w:ascii="Verdana" w:hAnsi="Verdana" w:cs="Arial"/>
                <w:b/>
                <w:bCs/>
                <w:i/>
                <w:iCs/>
                <w:color w:val="000000" w:themeColor="text1"/>
                <w:u w:val="single"/>
              </w:rPr>
              <w:t>y derivó de dicha disposición la responsabilidad solidaria del ICBF</w:t>
            </w:r>
            <w:r w:rsidRPr="00D86325">
              <w:rPr>
                <w:rFonts w:ascii="Verdana" w:hAnsi="Verdana" w:cs="Arial"/>
                <w:i/>
                <w:iCs/>
                <w:color w:val="000000" w:themeColor="text1"/>
              </w:rPr>
              <w:t xml:space="preserve"> –Regional Magdalena-, no obstante, </w:t>
            </w:r>
            <w:r w:rsidRPr="00D86325">
              <w:rPr>
                <w:rFonts w:ascii="Verdana" w:hAnsi="Verdana" w:cs="Arial"/>
                <w:b/>
                <w:bCs/>
                <w:i/>
                <w:iCs/>
                <w:color w:val="000000" w:themeColor="text1"/>
                <w:u w:val="single"/>
              </w:rPr>
              <w:t>pasó por alto que la normativa en comento no es aplicable a los contratos de aportes que dicha entidad celebra, por mandato expreso del artículo 127 del Decreto 2388 de 1979</w:t>
            </w:r>
            <w:r w:rsidRPr="00D86325">
              <w:rPr>
                <w:rFonts w:ascii="Verdana" w:hAnsi="Verdana" w:cs="Arial"/>
                <w:i/>
                <w:iCs/>
                <w:color w:val="000000" w:themeColor="text1"/>
              </w:rPr>
              <w:t xml:space="preserve"> que establece lo siguiente: Artículo 128. Los contratos de aporte que el ICBF celebre para la prestación de los servicios de bienestar familiar solo están sujetos a las cláusulas obligatorias de todo contrato administrativo”</w:t>
            </w:r>
            <w:r w:rsidRPr="00D86325">
              <w:rPr>
                <w:rFonts w:ascii="Verdana" w:hAnsi="Verdana" w:cs="Arial"/>
                <w:color w:val="000000" w:themeColor="text1"/>
              </w:rPr>
              <w:t xml:space="preserve">. También señaló que es evidente que la </w:t>
            </w:r>
            <w:r w:rsidRPr="00D86325">
              <w:rPr>
                <w:rFonts w:ascii="Verdana" w:hAnsi="Verdana" w:cs="Arial"/>
                <w:color w:val="000000" w:themeColor="text1"/>
              </w:rPr>
              <w:lastRenderedPageBreak/>
              <w:t>autoridad judicial convocada, con el error referido, se apartó de los pronunciamientos que esta Sala ha realizado respecto a la materia debatida, como la sentencia CSJ SL4430-2018.</w:t>
            </w:r>
          </w:p>
          <w:p w14:paraId="46020550" w14:textId="77777777" w:rsidR="00941A67" w:rsidRPr="00D86325" w:rsidRDefault="00941A67" w:rsidP="00A35C22">
            <w:pPr>
              <w:spacing w:after="0" w:line="240" w:lineRule="auto"/>
              <w:jc w:val="both"/>
              <w:rPr>
                <w:rFonts w:ascii="Verdana" w:hAnsi="Verdana" w:cs="Arial"/>
                <w:color w:val="000000" w:themeColor="text1"/>
              </w:rPr>
            </w:pPr>
          </w:p>
          <w:p w14:paraId="5692B563" w14:textId="77777777" w:rsidR="00941A67" w:rsidRPr="00D86325" w:rsidRDefault="00941A67" w:rsidP="00A35C22">
            <w:pPr>
              <w:spacing w:after="0" w:line="240" w:lineRule="auto"/>
              <w:jc w:val="both"/>
              <w:rPr>
                <w:rFonts w:ascii="Verdana" w:hAnsi="Verdana" w:cs="Arial"/>
                <w:color w:val="000000" w:themeColor="text1"/>
              </w:rPr>
            </w:pPr>
            <w:r w:rsidRPr="00D86325">
              <w:rPr>
                <w:rFonts w:ascii="Verdana" w:hAnsi="Verdana" w:cs="Arial"/>
                <w:color w:val="000000" w:themeColor="text1"/>
              </w:rPr>
              <w:t xml:space="preserve">De esta manera, concluyó: </w:t>
            </w:r>
            <w:r w:rsidRPr="00D86325">
              <w:rPr>
                <w:rFonts w:ascii="Verdana" w:hAnsi="Verdana" w:cs="Arial"/>
                <w:i/>
                <w:iCs/>
                <w:color w:val="000000" w:themeColor="text1"/>
              </w:rPr>
              <w:t xml:space="preserve">“Así, a juicio de esta Corte, el Tribunal tutelado sí se apartó con su decisión del ordenamiento jurídico y, por dicha vía, lesionó el derecho fundamental al debido proceso de la entidad tutelante, </w:t>
            </w:r>
            <w:r w:rsidRPr="00D86325">
              <w:rPr>
                <w:rFonts w:ascii="Verdana" w:hAnsi="Verdana" w:cs="Arial"/>
                <w:b/>
                <w:bCs/>
                <w:i/>
                <w:iCs/>
                <w:color w:val="000000" w:themeColor="text1"/>
                <w:u w:val="single"/>
              </w:rPr>
              <w:t>pues aun cuando esta no informó en la contestación a la demanda sobre la existencia del precedente jurisprudencial, era deber del funcionario conocerlo y también aplicar los preceptos legales que regulan el asunto en controversia</w:t>
            </w:r>
            <w:r w:rsidRPr="00D86325">
              <w:rPr>
                <w:rFonts w:ascii="Verdana" w:hAnsi="Verdana" w:cs="Arial"/>
                <w:i/>
                <w:iCs/>
                <w:color w:val="000000" w:themeColor="text1"/>
              </w:rPr>
              <w:t>”</w:t>
            </w:r>
            <w:r w:rsidRPr="00D86325">
              <w:rPr>
                <w:rFonts w:ascii="Verdana" w:hAnsi="Verdana" w:cs="Arial"/>
                <w:color w:val="000000" w:themeColor="text1"/>
              </w:rPr>
              <w:t xml:space="preserve">.  </w:t>
            </w:r>
          </w:p>
          <w:p w14:paraId="5545834F" w14:textId="77777777" w:rsidR="00941A67" w:rsidRPr="00D86325" w:rsidRDefault="00941A67" w:rsidP="00A35C22">
            <w:pPr>
              <w:spacing w:after="0" w:line="240" w:lineRule="auto"/>
              <w:jc w:val="both"/>
              <w:rPr>
                <w:rFonts w:ascii="Verdana" w:hAnsi="Verdana" w:cs="Arial"/>
                <w:color w:val="000000" w:themeColor="text1"/>
              </w:rPr>
            </w:pPr>
          </w:p>
          <w:p w14:paraId="66CB6090" w14:textId="77777777" w:rsidR="00941A67" w:rsidRPr="00D86325" w:rsidRDefault="00941A67" w:rsidP="00A35C22">
            <w:pPr>
              <w:numPr>
                <w:ilvl w:val="0"/>
                <w:numId w:val="24"/>
              </w:numPr>
              <w:spacing w:after="0" w:line="240" w:lineRule="auto"/>
              <w:jc w:val="both"/>
              <w:rPr>
                <w:rFonts w:ascii="Verdana" w:hAnsi="Verdana" w:cs="Arial"/>
                <w:color w:val="000000" w:themeColor="text1"/>
              </w:rPr>
            </w:pPr>
            <w:r w:rsidRPr="00D86325">
              <w:rPr>
                <w:rFonts w:ascii="Verdana" w:hAnsi="Verdana" w:cs="Arial"/>
                <w:color w:val="000000" w:themeColor="text1"/>
                <w:u w:val="single"/>
              </w:rPr>
              <w:t>Sentencia de tutela del 6 de mayo de 2021</w:t>
            </w:r>
            <w:r w:rsidRPr="00D86325">
              <w:rPr>
                <w:rStyle w:val="Refdenotaalpie"/>
                <w:rFonts w:ascii="Verdana" w:hAnsi="Verdana" w:cs="Arial"/>
                <w:color w:val="000000" w:themeColor="text1"/>
              </w:rPr>
              <w:footnoteReference w:id="12"/>
            </w:r>
            <w:r w:rsidRPr="00D86325">
              <w:rPr>
                <w:rFonts w:ascii="Verdana" w:hAnsi="Verdana" w:cs="Arial"/>
                <w:color w:val="000000" w:themeColor="text1"/>
              </w:rPr>
              <w:t>, en esta la Sala de Casación Penal de la Corte Suprema de Justicia confirmó el fallo de tutela proferido por la Sala de Casación Laboral de la Corte Suprema de Justicia, que negó el amparo de los accionantes que pretendían dejar sin efecto las providencias del proceso ordinario laboral en el que se absolvió al ICBF y que se dictara otra providencia que lo declare solidario.</w:t>
            </w:r>
          </w:p>
          <w:p w14:paraId="23445F9D" w14:textId="77777777" w:rsidR="00941A67" w:rsidRPr="00D86325" w:rsidRDefault="00941A67" w:rsidP="00A35C22">
            <w:pPr>
              <w:spacing w:after="0" w:line="240" w:lineRule="auto"/>
              <w:jc w:val="both"/>
              <w:rPr>
                <w:rFonts w:ascii="Verdana" w:hAnsi="Verdana" w:cs="Arial"/>
                <w:color w:val="000000" w:themeColor="text1"/>
              </w:rPr>
            </w:pPr>
          </w:p>
          <w:p w14:paraId="1114C1B6" w14:textId="77777777" w:rsidR="00941A67" w:rsidRPr="00D86325" w:rsidRDefault="00941A67" w:rsidP="00A35C22">
            <w:pPr>
              <w:spacing w:after="0" w:line="240" w:lineRule="auto"/>
              <w:jc w:val="both"/>
              <w:rPr>
                <w:rFonts w:ascii="Verdana" w:hAnsi="Verdana" w:cs="Arial"/>
                <w:color w:val="000000" w:themeColor="text1"/>
              </w:rPr>
            </w:pPr>
            <w:r w:rsidRPr="00D86325">
              <w:rPr>
                <w:rFonts w:ascii="Verdana" w:hAnsi="Verdana" w:cs="Arial"/>
                <w:color w:val="000000" w:themeColor="text1"/>
              </w:rPr>
              <w:t xml:space="preserve">La Sala de Casación Penal concluyó que las providencias del proceso ordinario laboral contaron con la suficiente claridad y argumentación para desestimar la figura de la solidaridad del artículo 34 CST, ya que las conclusiones que sobre el particular se plasmaron en las instancias, fueron producto del análisis e interpretación dada a la Ley 7ª de 1979 y su Decreto Reglamentario 2388 del mismo año. Agrega expresamente que dicho análisis, además, se respaldó en la comprensión que sobre tal materia realizó la Sala de Casación Laboral de la Corte Suprema de Justicia como órgano de cierre en materia laboral, en la sentencia del 10 de octubre de 2018, SL4430-2018, rad. N.° 54744 (providencia que cita </w:t>
            </w:r>
            <w:proofErr w:type="gramStart"/>
            <w:r w:rsidRPr="00D86325">
              <w:rPr>
                <w:rFonts w:ascii="Verdana" w:hAnsi="Verdana" w:cs="Arial"/>
                <w:i/>
                <w:iCs/>
                <w:color w:val="000000" w:themeColor="text1"/>
              </w:rPr>
              <w:t>in extenso</w:t>
            </w:r>
            <w:proofErr w:type="gramEnd"/>
            <w:r w:rsidRPr="00D86325">
              <w:rPr>
                <w:rFonts w:ascii="Verdana" w:hAnsi="Verdana" w:cs="Arial"/>
                <w:color w:val="000000" w:themeColor="text1"/>
              </w:rPr>
              <w:t xml:space="preserve"> en las páginas 9 a 13 del fallo de tutela).</w:t>
            </w:r>
          </w:p>
          <w:p w14:paraId="64581504" w14:textId="77777777" w:rsidR="00941A67" w:rsidRPr="00D86325" w:rsidRDefault="00941A67" w:rsidP="00A35C22">
            <w:pPr>
              <w:spacing w:after="0" w:line="240" w:lineRule="auto"/>
              <w:jc w:val="both"/>
              <w:rPr>
                <w:rFonts w:ascii="Verdana" w:hAnsi="Verdana" w:cs="Arial"/>
                <w:color w:val="000000" w:themeColor="text1"/>
              </w:rPr>
            </w:pPr>
          </w:p>
          <w:p w14:paraId="222B399C" w14:textId="6BDFA13F" w:rsidR="00941A67" w:rsidRPr="00D86325" w:rsidRDefault="00A35C22" w:rsidP="00A35C22">
            <w:pPr>
              <w:spacing w:after="0" w:line="240" w:lineRule="auto"/>
              <w:jc w:val="both"/>
              <w:rPr>
                <w:rFonts w:ascii="Verdana" w:hAnsi="Verdana" w:cs="Arial"/>
                <w:color w:val="000000" w:themeColor="text1"/>
                <w:bdr w:val="none" w:sz="0" w:space="0" w:color="auto" w:frame="1"/>
                <w:lang w:val="es-CO" w:eastAsia="es-CO"/>
              </w:rPr>
            </w:pPr>
            <w:r w:rsidRPr="00D86325">
              <w:rPr>
                <w:rFonts w:ascii="Verdana" w:hAnsi="Verdana" w:cs="Arial"/>
                <w:color w:val="000000" w:themeColor="text1"/>
                <w:bdr w:val="none" w:sz="0" w:space="0" w:color="auto" w:frame="1"/>
                <w:lang w:val="es-CO" w:eastAsia="es-CO"/>
              </w:rPr>
              <w:t>E</w:t>
            </w:r>
            <w:r w:rsidR="00941A67" w:rsidRPr="00D86325">
              <w:rPr>
                <w:rFonts w:ascii="Verdana" w:hAnsi="Verdana" w:cs="Arial"/>
                <w:color w:val="000000" w:themeColor="text1"/>
                <w:bdr w:val="none" w:sz="0" w:space="0" w:color="auto" w:frame="1"/>
                <w:lang w:val="es-CO" w:eastAsia="es-CO"/>
              </w:rPr>
              <w:t>n el salvamento de voto expuesto por parte del Magistrado Gerardo Botero Zuluaga en acción de tutela impetrada por parte del ICBF con radicado No. 65846</w:t>
            </w:r>
            <w:r w:rsidRPr="00D86325">
              <w:rPr>
                <w:rFonts w:ascii="Verdana" w:hAnsi="Verdana" w:cs="Arial"/>
                <w:color w:val="000000" w:themeColor="text1"/>
                <w:bdr w:val="none" w:sz="0" w:space="0" w:color="auto" w:frame="1"/>
                <w:lang w:val="es-CO" w:eastAsia="es-CO"/>
              </w:rPr>
              <w:t xml:space="preserve"> </w:t>
            </w:r>
            <w:r w:rsidR="00941A67" w:rsidRPr="00D86325">
              <w:rPr>
                <w:rFonts w:ascii="Verdana" w:hAnsi="Verdana" w:cs="Arial"/>
                <w:color w:val="000000" w:themeColor="text1"/>
                <w:bdr w:val="none" w:sz="0" w:space="0" w:color="auto" w:frame="1"/>
                <w:lang w:val="es-CO" w:eastAsia="es-CO"/>
              </w:rPr>
              <w:t xml:space="preserve">manifestó </w:t>
            </w:r>
            <w:proofErr w:type="gramStart"/>
            <w:r w:rsidR="00941A67" w:rsidRPr="00D86325">
              <w:rPr>
                <w:rFonts w:ascii="Verdana" w:hAnsi="Verdana" w:cs="Arial"/>
                <w:color w:val="000000" w:themeColor="text1"/>
                <w:bdr w:val="none" w:sz="0" w:space="0" w:color="auto" w:frame="1"/>
                <w:lang w:val="es-CO" w:eastAsia="es-CO"/>
              </w:rPr>
              <w:t>que</w:t>
            </w:r>
            <w:proofErr w:type="gramEnd"/>
            <w:r w:rsidR="00941A67" w:rsidRPr="00D86325">
              <w:rPr>
                <w:rFonts w:ascii="Verdana" w:hAnsi="Verdana" w:cs="Arial"/>
                <w:color w:val="000000" w:themeColor="text1"/>
                <w:bdr w:val="none" w:sz="0" w:space="0" w:color="auto" w:frame="1"/>
                <w:lang w:val="es-CO" w:eastAsia="es-CO"/>
              </w:rPr>
              <w:t xml:space="preserve"> en un caso de similares características al estudiado a través de la presente acción de amparo, si se evidenció una vulneración a los derechos fundamentales de la accionante por parte de los accionados, al aseverar que: </w:t>
            </w:r>
          </w:p>
          <w:p w14:paraId="6F4DD283" w14:textId="77777777" w:rsidR="00941A67" w:rsidRPr="00D86325" w:rsidRDefault="00941A67" w:rsidP="00A35C22">
            <w:pPr>
              <w:spacing w:after="0" w:line="240" w:lineRule="auto"/>
              <w:jc w:val="both"/>
              <w:rPr>
                <w:rFonts w:ascii="Verdana" w:hAnsi="Verdana" w:cs="Arial"/>
                <w:color w:val="000000" w:themeColor="text1"/>
                <w:bdr w:val="none" w:sz="0" w:space="0" w:color="auto" w:frame="1"/>
                <w:lang w:val="es-CO" w:eastAsia="es-CO"/>
              </w:rPr>
            </w:pPr>
          </w:p>
          <w:p w14:paraId="1791D850" w14:textId="77777777" w:rsidR="00941A67" w:rsidRPr="00D86325" w:rsidRDefault="00941A67" w:rsidP="00A35C22">
            <w:pPr>
              <w:spacing w:after="0" w:line="240" w:lineRule="auto"/>
              <w:ind w:left="708"/>
              <w:jc w:val="both"/>
              <w:rPr>
                <w:rFonts w:ascii="Verdana" w:hAnsi="Verdana" w:cs="Arial"/>
                <w:b/>
                <w:bCs/>
                <w:i/>
                <w:iCs/>
                <w:color w:val="000000" w:themeColor="text1"/>
                <w:bdr w:val="none" w:sz="0" w:space="0" w:color="auto" w:frame="1"/>
                <w:lang w:eastAsia="es-CO"/>
              </w:rPr>
            </w:pPr>
            <w:r w:rsidRPr="00D86325">
              <w:rPr>
                <w:rFonts w:ascii="Verdana" w:hAnsi="Verdana" w:cs="Arial"/>
                <w:i/>
                <w:iCs/>
                <w:color w:val="000000" w:themeColor="text1"/>
                <w:bdr w:val="none" w:sz="0" w:space="0" w:color="auto" w:frame="1"/>
                <w:lang w:eastAsia="es-CO"/>
              </w:rPr>
              <w:t xml:space="preserve">“No obstante lo anterior, en mi criterio, </w:t>
            </w:r>
            <w:r w:rsidRPr="00D86325">
              <w:rPr>
                <w:rFonts w:ascii="Verdana" w:hAnsi="Verdana" w:cs="Arial"/>
                <w:b/>
                <w:bCs/>
                <w:i/>
                <w:iCs/>
                <w:color w:val="000000" w:themeColor="text1"/>
                <w:bdr w:val="none" w:sz="0" w:space="0" w:color="auto" w:frame="1"/>
                <w:lang w:eastAsia="es-CO"/>
              </w:rPr>
              <w:t>el juez plural encausado sí incurrió en un error evidente, dado que aplicó de forma equivocada el artículo 34 del Código Sustantivo de Trabajo al caso que analizó y derivó de dicha disposición la responsabilidad solidaria del ICBF; sin embargo, pasó por alto que la normativa en comento no es aplicable a los contratos de aportes que dicha entidad celebra, por mandato expreso del artículo 127 del Decreto 2388 de 1979 (…)</w:t>
            </w:r>
          </w:p>
          <w:p w14:paraId="51243E1E" w14:textId="77777777" w:rsidR="00941A67" w:rsidRPr="00D86325" w:rsidRDefault="00941A67" w:rsidP="00A35C22">
            <w:pPr>
              <w:spacing w:after="0" w:line="240" w:lineRule="auto"/>
              <w:ind w:left="708"/>
              <w:jc w:val="both"/>
              <w:rPr>
                <w:rFonts w:ascii="Verdana" w:hAnsi="Verdana" w:cs="Arial"/>
                <w:i/>
                <w:iCs/>
                <w:color w:val="000000" w:themeColor="text1"/>
                <w:bdr w:val="none" w:sz="0" w:space="0" w:color="auto" w:frame="1"/>
                <w:lang w:val="es-CO" w:eastAsia="es-CO"/>
              </w:rPr>
            </w:pPr>
          </w:p>
          <w:p w14:paraId="766FE28E" w14:textId="77777777" w:rsidR="00941A67" w:rsidRPr="00D86325" w:rsidRDefault="00941A67" w:rsidP="00A35C22">
            <w:pPr>
              <w:spacing w:after="0" w:line="240" w:lineRule="auto"/>
              <w:ind w:left="708"/>
              <w:jc w:val="both"/>
              <w:rPr>
                <w:rFonts w:ascii="Verdana" w:hAnsi="Verdana" w:cs="Arial"/>
                <w:i/>
                <w:iCs/>
                <w:color w:val="000000" w:themeColor="text1"/>
                <w:bdr w:val="none" w:sz="0" w:space="0" w:color="auto" w:frame="1"/>
                <w:lang w:val="es-CO" w:eastAsia="es-CO"/>
              </w:rPr>
            </w:pPr>
            <w:r w:rsidRPr="00D86325">
              <w:rPr>
                <w:rFonts w:ascii="Verdana" w:hAnsi="Verdana" w:cs="Arial"/>
                <w:i/>
                <w:iCs/>
                <w:color w:val="000000" w:themeColor="text1"/>
                <w:bdr w:val="none" w:sz="0" w:space="0" w:color="auto" w:frame="1"/>
                <w:lang w:val="es-CO" w:eastAsia="es-CO"/>
              </w:rPr>
              <w:t xml:space="preserve">(…) </w:t>
            </w:r>
          </w:p>
          <w:p w14:paraId="3D5363BD" w14:textId="77777777" w:rsidR="00941A67" w:rsidRPr="00D86325" w:rsidRDefault="00941A67" w:rsidP="00A35C22">
            <w:pPr>
              <w:spacing w:after="0" w:line="240" w:lineRule="auto"/>
              <w:ind w:left="708"/>
              <w:jc w:val="both"/>
              <w:rPr>
                <w:rFonts w:ascii="Verdana" w:hAnsi="Verdana" w:cs="Arial"/>
                <w:i/>
                <w:iCs/>
                <w:color w:val="000000" w:themeColor="text1"/>
                <w:bdr w:val="none" w:sz="0" w:space="0" w:color="auto" w:frame="1"/>
                <w:lang w:val="es-CO" w:eastAsia="es-CO"/>
              </w:rPr>
            </w:pPr>
          </w:p>
          <w:p w14:paraId="432610C4" w14:textId="77777777" w:rsidR="00941A67" w:rsidRPr="00D86325" w:rsidRDefault="00941A67" w:rsidP="00A35C22">
            <w:pPr>
              <w:spacing w:after="0" w:line="240" w:lineRule="auto"/>
              <w:ind w:left="708"/>
              <w:jc w:val="both"/>
              <w:rPr>
                <w:rFonts w:ascii="Verdana" w:hAnsi="Verdana" w:cs="Arial"/>
                <w:color w:val="000000" w:themeColor="text1"/>
                <w:bdr w:val="none" w:sz="0" w:space="0" w:color="auto" w:frame="1"/>
                <w:lang w:eastAsia="es-CO"/>
              </w:rPr>
            </w:pPr>
            <w:r w:rsidRPr="00D86325">
              <w:rPr>
                <w:rFonts w:ascii="Verdana" w:hAnsi="Verdana" w:cs="Arial"/>
                <w:i/>
                <w:iCs/>
                <w:color w:val="000000" w:themeColor="text1"/>
                <w:bdr w:val="none" w:sz="0" w:space="0" w:color="auto" w:frame="1"/>
                <w:lang w:eastAsia="es-CO"/>
              </w:rPr>
              <w:t xml:space="preserve">Ahora, es evidente que la autoridad judicial convocada, además de desconocer los preceptos normativos en cita, </w:t>
            </w:r>
            <w:r w:rsidRPr="00D86325">
              <w:rPr>
                <w:rFonts w:ascii="Verdana" w:hAnsi="Verdana" w:cs="Arial"/>
                <w:b/>
                <w:bCs/>
                <w:i/>
                <w:iCs/>
                <w:color w:val="000000" w:themeColor="text1"/>
                <w:u w:val="single"/>
                <w:bdr w:val="none" w:sz="0" w:space="0" w:color="auto" w:frame="1"/>
                <w:lang w:eastAsia="es-CO"/>
              </w:rPr>
              <w:t>se apartó de los pronunciamientos que esta Sala ha realizado respecto a la materia debatida, entre otras, en sentencia CSJ SL4430-2018, reiterada en decisiones CSJ STL3224-2020, CSJ STL6804-2020 y CSJ STL7773-2020”</w:t>
            </w:r>
            <w:r w:rsidRPr="00D86325">
              <w:rPr>
                <w:rFonts w:ascii="Verdana" w:hAnsi="Verdana" w:cs="Arial"/>
                <w:color w:val="000000" w:themeColor="text1"/>
                <w:bdr w:val="none" w:sz="0" w:space="0" w:color="auto" w:frame="1"/>
                <w:lang w:eastAsia="es-CO"/>
              </w:rPr>
              <w:t xml:space="preserve"> (Negrillas propias). </w:t>
            </w:r>
          </w:p>
          <w:p w14:paraId="265E1781" w14:textId="77777777" w:rsidR="00941A67" w:rsidRPr="00D86325" w:rsidRDefault="00941A67" w:rsidP="00A35C22">
            <w:pPr>
              <w:spacing w:after="0" w:line="240" w:lineRule="auto"/>
              <w:jc w:val="both"/>
              <w:rPr>
                <w:rFonts w:ascii="Verdana" w:hAnsi="Verdana" w:cs="Arial"/>
                <w:color w:val="000000" w:themeColor="text1"/>
                <w:bdr w:val="none" w:sz="0" w:space="0" w:color="auto" w:frame="1"/>
                <w:lang w:eastAsia="es-CO"/>
              </w:rPr>
            </w:pPr>
          </w:p>
          <w:p w14:paraId="02B883B6" w14:textId="77777777" w:rsidR="00941A67" w:rsidRPr="00D86325" w:rsidRDefault="00941A67" w:rsidP="00A35C22">
            <w:pPr>
              <w:spacing w:after="0" w:line="240" w:lineRule="auto"/>
              <w:jc w:val="both"/>
              <w:rPr>
                <w:rFonts w:ascii="Verdana" w:hAnsi="Verdana" w:cs="Arial"/>
                <w:color w:val="000000" w:themeColor="text1"/>
                <w:bdr w:val="none" w:sz="0" w:space="0" w:color="auto" w:frame="1"/>
                <w:lang w:eastAsia="es-CO"/>
              </w:rPr>
            </w:pPr>
            <w:r w:rsidRPr="00D86325">
              <w:rPr>
                <w:rFonts w:ascii="Verdana" w:hAnsi="Verdana" w:cs="Arial"/>
                <w:color w:val="000000" w:themeColor="text1"/>
                <w:bdr w:val="none" w:sz="0" w:space="0" w:color="auto" w:frame="1"/>
                <w:lang w:eastAsia="es-CO"/>
              </w:rPr>
              <w:t xml:space="preserve">Y concluye el magistrado disidente: </w:t>
            </w:r>
          </w:p>
          <w:p w14:paraId="7BA19A68" w14:textId="77777777" w:rsidR="00941A67" w:rsidRPr="00D86325" w:rsidRDefault="00941A67" w:rsidP="00A35C22">
            <w:pPr>
              <w:spacing w:after="0" w:line="240" w:lineRule="auto"/>
              <w:jc w:val="both"/>
              <w:rPr>
                <w:rFonts w:ascii="Verdana" w:hAnsi="Verdana" w:cs="Arial"/>
                <w:color w:val="000000" w:themeColor="text1"/>
                <w:bdr w:val="none" w:sz="0" w:space="0" w:color="auto" w:frame="1"/>
                <w:lang w:eastAsia="es-CO"/>
              </w:rPr>
            </w:pPr>
          </w:p>
          <w:p w14:paraId="01AD77F5" w14:textId="77777777" w:rsidR="00941A67" w:rsidRPr="00D86325" w:rsidRDefault="00941A67" w:rsidP="00A35C22">
            <w:pPr>
              <w:spacing w:after="0" w:line="240" w:lineRule="auto"/>
              <w:ind w:left="708"/>
              <w:jc w:val="both"/>
              <w:rPr>
                <w:rFonts w:ascii="Verdana" w:hAnsi="Verdana" w:cs="Arial"/>
                <w:b/>
                <w:bCs/>
                <w:i/>
                <w:iCs/>
                <w:color w:val="000000" w:themeColor="text1"/>
                <w:u w:val="single"/>
                <w:bdr w:val="none" w:sz="0" w:space="0" w:color="auto" w:frame="1"/>
                <w:lang w:eastAsia="es-CO"/>
              </w:rPr>
            </w:pPr>
            <w:r w:rsidRPr="00D86325">
              <w:rPr>
                <w:rFonts w:ascii="Verdana" w:hAnsi="Verdana" w:cs="Arial"/>
                <w:i/>
                <w:iCs/>
                <w:color w:val="000000" w:themeColor="text1"/>
                <w:bdr w:val="none" w:sz="0" w:space="0" w:color="auto" w:frame="1"/>
                <w:lang w:eastAsia="es-CO"/>
              </w:rPr>
              <w:t xml:space="preserve">“Así, en criterio del suscrito, el Tribunal tutelado sí se alejó con su decisión del ordenamiento jurídico y, por dicha vía, lesionó el derecho fundamental al debido proceso de la entidad tutelante; además, </w:t>
            </w:r>
            <w:r w:rsidRPr="00D86325">
              <w:rPr>
                <w:rFonts w:ascii="Verdana" w:hAnsi="Verdana" w:cs="Arial"/>
                <w:b/>
                <w:bCs/>
                <w:i/>
                <w:iCs/>
                <w:color w:val="000000" w:themeColor="text1"/>
                <w:u w:val="single"/>
                <w:bdr w:val="none" w:sz="0" w:space="0" w:color="auto" w:frame="1"/>
                <w:lang w:eastAsia="es-CO"/>
              </w:rPr>
              <w:t xml:space="preserve">en este caso, las razones que expuso </w:t>
            </w:r>
            <w:r w:rsidRPr="00D86325">
              <w:rPr>
                <w:rFonts w:ascii="Verdana" w:hAnsi="Verdana" w:cs="Arial"/>
                <w:b/>
                <w:bCs/>
                <w:i/>
                <w:iCs/>
                <w:color w:val="000000" w:themeColor="text1"/>
                <w:u w:val="single"/>
                <w:bdr w:val="none" w:sz="0" w:space="0" w:color="auto" w:frame="1"/>
                <w:lang w:eastAsia="es-CO"/>
              </w:rPr>
              <w:lastRenderedPageBreak/>
              <w:t xml:space="preserve">para apartarse del criterio de esta Corte no bastan para justificar su decisión, pues, se insiste, la transgresión no fue únicamente del precedente jurisprudencial sino de la propia norma jurídica, cuya aplicación es ineludible y de obligatorio cumplimiento. </w:t>
            </w:r>
          </w:p>
          <w:p w14:paraId="76DF92E5" w14:textId="77777777" w:rsidR="00941A67" w:rsidRPr="00D86325" w:rsidRDefault="00941A67" w:rsidP="00A35C22">
            <w:pPr>
              <w:spacing w:after="0" w:line="240" w:lineRule="auto"/>
              <w:ind w:left="708"/>
              <w:jc w:val="both"/>
              <w:rPr>
                <w:rFonts w:ascii="Verdana" w:hAnsi="Verdana" w:cs="Arial"/>
                <w:b/>
                <w:bCs/>
                <w:i/>
                <w:iCs/>
                <w:color w:val="000000" w:themeColor="text1"/>
                <w:u w:val="single"/>
                <w:bdr w:val="none" w:sz="0" w:space="0" w:color="auto" w:frame="1"/>
                <w:lang w:eastAsia="es-CO"/>
              </w:rPr>
            </w:pPr>
          </w:p>
          <w:p w14:paraId="6A22863E" w14:textId="7A13516D" w:rsidR="00351EEE" w:rsidRPr="00D86325" w:rsidRDefault="00941A67" w:rsidP="00A35C22">
            <w:pPr>
              <w:spacing w:after="0" w:line="240" w:lineRule="auto"/>
              <w:jc w:val="both"/>
              <w:rPr>
                <w:rFonts w:ascii="Verdana" w:hAnsi="Verdana" w:cs="Arial"/>
                <w:bCs/>
                <w:color w:val="000000" w:themeColor="text1"/>
              </w:rPr>
            </w:pPr>
            <w:r w:rsidRPr="00D86325">
              <w:rPr>
                <w:rFonts w:ascii="Verdana" w:hAnsi="Verdana" w:cs="Arial"/>
                <w:b/>
                <w:bCs/>
                <w:i/>
                <w:iCs/>
                <w:color w:val="000000" w:themeColor="text1"/>
                <w:u w:val="single"/>
                <w:bdr w:val="none" w:sz="0" w:space="0" w:color="auto" w:frame="1"/>
                <w:lang w:eastAsia="es-CO"/>
              </w:rPr>
              <w:t>En ese contexto, estimo que debió concederse el resguardo constitucional, pues no era viable avalar la razonabilidad de la determinación censurada, como lo consideró la mayoría de la Sala.”</w:t>
            </w:r>
            <w:r w:rsidRPr="00D86325">
              <w:rPr>
                <w:rFonts w:ascii="Verdana" w:hAnsi="Verdana" w:cs="Arial"/>
                <w:i/>
                <w:iCs/>
                <w:color w:val="000000" w:themeColor="text1"/>
                <w:bdr w:val="none" w:sz="0" w:space="0" w:color="auto" w:frame="1"/>
                <w:lang w:eastAsia="es-CO"/>
              </w:rPr>
              <w:t xml:space="preserve">. </w:t>
            </w:r>
            <w:r w:rsidRPr="00D86325">
              <w:rPr>
                <w:rFonts w:ascii="Verdana" w:hAnsi="Verdana" w:cs="Arial"/>
                <w:color w:val="000000" w:themeColor="text1"/>
                <w:bdr w:val="none" w:sz="0" w:space="0" w:color="auto" w:frame="1"/>
                <w:lang w:eastAsia="es-CO"/>
              </w:rPr>
              <w:t>(Resaltado propio).</w:t>
            </w:r>
          </w:p>
          <w:p w14:paraId="52BD1CA8" w14:textId="77777777" w:rsidR="00351EEE" w:rsidRPr="00D86325" w:rsidRDefault="00351EEE" w:rsidP="00A35C22">
            <w:pPr>
              <w:spacing w:after="0" w:line="240" w:lineRule="auto"/>
              <w:jc w:val="both"/>
              <w:rPr>
                <w:rFonts w:ascii="Verdana" w:hAnsi="Verdana" w:cs="Arial"/>
                <w:bCs/>
                <w:color w:val="000000" w:themeColor="text1"/>
              </w:rPr>
            </w:pPr>
          </w:p>
          <w:p w14:paraId="7E7287C6" w14:textId="385B7B3D" w:rsidR="005626FB" w:rsidRPr="00D86325" w:rsidRDefault="005626FB" w:rsidP="005626FB">
            <w:pPr>
              <w:spacing w:after="0" w:line="240" w:lineRule="auto"/>
              <w:jc w:val="both"/>
              <w:rPr>
                <w:rFonts w:ascii="Verdana" w:hAnsi="Verdana" w:cs="Arial"/>
                <w:bCs/>
                <w:color w:val="000000" w:themeColor="text1"/>
                <w:lang w:val="es-CO"/>
              </w:rPr>
            </w:pPr>
            <w:r w:rsidRPr="00D86325">
              <w:rPr>
                <w:rFonts w:ascii="Verdana" w:hAnsi="Verdana" w:cs="Arial"/>
                <w:bCs/>
                <w:color w:val="000000" w:themeColor="text1"/>
                <w:lang w:val="es-CO"/>
              </w:rPr>
              <w:t xml:space="preserve">Luego, en sentencia de la Sala de Casación Penal de la Corte Suprema de Justicia M.P. HUGO QUINTERO BERNATE STP17079-2022 Radicación 125496 indicó: </w:t>
            </w:r>
          </w:p>
          <w:p w14:paraId="44272D42" w14:textId="77777777" w:rsidR="005626FB" w:rsidRPr="00D86325" w:rsidRDefault="005626FB" w:rsidP="005626FB">
            <w:pPr>
              <w:spacing w:after="0" w:line="240" w:lineRule="auto"/>
              <w:jc w:val="both"/>
              <w:rPr>
                <w:rFonts w:ascii="Verdana" w:hAnsi="Verdana" w:cs="Arial"/>
                <w:bCs/>
                <w:color w:val="000000" w:themeColor="text1"/>
                <w:lang w:val="es-CO"/>
              </w:rPr>
            </w:pPr>
          </w:p>
          <w:p w14:paraId="5541588B" w14:textId="5BC92B83" w:rsidR="005626FB" w:rsidRPr="00D86325" w:rsidRDefault="005626FB" w:rsidP="005626FB">
            <w:pPr>
              <w:spacing w:after="0" w:line="240" w:lineRule="auto"/>
              <w:jc w:val="both"/>
              <w:rPr>
                <w:rFonts w:ascii="Verdana" w:hAnsi="Verdana" w:cs="Arial"/>
                <w:bCs/>
                <w:color w:val="000000" w:themeColor="text1"/>
              </w:rPr>
            </w:pPr>
            <w:r w:rsidRPr="00D86325">
              <w:rPr>
                <w:rFonts w:ascii="Verdana" w:hAnsi="Verdana" w:cs="Arial"/>
                <w:bCs/>
                <w:i/>
                <w:iCs/>
                <w:color w:val="000000" w:themeColor="text1"/>
              </w:rPr>
              <w:t>“En esa línea, el análisis se fundó en que están encontradas las normas del Decreto 2663 de 1990 Vs el Decreto 2388 de 1979. En el primero de ellos se establecieron los principios, reglas, derechos y deberes con relación al derecho individual y colectivo del trabajo; el segundo, reglamentó el servicio y el Sistema Nacional de Bienestar Familiar. Ante dicha tensión, dijo, debe primar la norma sustantiva que protege al trabajador, la cual no puede desconocerse so pretexto del desarrollo armónico de la familia y protección al menor de edad. De ahí que la Corporación aplicó la responsabilidad solidaria al ICBF, </w:t>
            </w:r>
            <w:r w:rsidRPr="00D86325">
              <w:rPr>
                <w:rFonts w:ascii="Verdana" w:hAnsi="Verdana" w:cs="Arial"/>
                <w:b/>
                <w:bCs/>
                <w:i/>
                <w:iCs/>
                <w:color w:val="000000" w:themeColor="text1"/>
              </w:rPr>
              <w:t>sin interesar la naturaleza del beneficiario de la obra</w:t>
            </w:r>
            <w:r w:rsidRPr="00D86325">
              <w:rPr>
                <w:rFonts w:ascii="Verdana" w:hAnsi="Verdana" w:cs="Arial"/>
                <w:bCs/>
                <w:i/>
                <w:iCs/>
                <w:color w:val="000000" w:themeColor="text1"/>
              </w:rPr>
              <w:t>, máxime que los trabajadores no cuentan con la garantía de que sus acreencias laborales sean reconocidas por el directo empleador”. </w:t>
            </w:r>
            <w:r w:rsidRPr="00D86325">
              <w:rPr>
                <w:rFonts w:ascii="Verdana" w:hAnsi="Verdana" w:cs="Arial"/>
                <w:bCs/>
                <w:color w:val="000000" w:themeColor="text1"/>
              </w:rPr>
              <w:t>(Resaltado fuera del texto original).  </w:t>
            </w:r>
          </w:p>
          <w:p w14:paraId="1940E7BD" w14:textId="77777777" w:rsidR="005626FB" w:rsidRPr="00D86325" w:rsidRDefault="005626FB" w:rsidP="005626FB">
            <w:pPr>
              <w:spacing w:after="0" w:line="240" w:lineRule="auto"/>
              <w:jc w:val="both"/>
              <w:rPr>
                <w:rFonts w:ascii="Verdana" w:hAnsi="Verdana" w:cs="Arial"/>
                <w:bCs/>
                <w:color w:val="000000" w:themeColor="text1"/>
              </w:rPr>
            </w:pPr>
          </w:p>
          <w:p w14:paraId="2A969846" w14:textId="6DAD6B88" w:rsidR="005626FB" w:rsidRPr="00D86325" w:rsidRDefault="005626FB" w:rsidP="005626FB">
            <w:pPr>
              <w:spacing w:after="0" w:line="240" w:lineRule="auto"/>
              <w:jc w:val="both"/>
              <w:rPr>
                <w:rFonts w:ascii="Verdana" w:hAnsi="Verdana" w:cs="Arial"/>
                <w:bCs/>
                <w:color w:val="000000" w:themeColor="text1"/>
                <w:lang w:val="es-CO"/>
              </w:rPr>
            </w:pPr>
            <w:r w:rsidRPr="00D86325">
              <w:rPr>
                <w:rFonts w:ascii="Verdana" w:hAnsi="Verdana" w:cs="Arial"/>
                <w:bCs/>
                <w:color w:val="000000" w:themeColor="text1"/>
              </w:rPr>
              <w:t>Para inaplicar el régimen general de solidaridad laboral contenido en el artículo 34 del CST respecto del ICBF, se adujo que: emerge imperioso precisar que la Sala de Casación Laboral, en la sentencia SL4430-2018 del 10 de octubre de 2018, reiterada en varias decisiones de la misma Corporación, entre otras la SL2370-2021, fue enfática al indicar que el contrato de aportes celebrado con las referidas instituciones es </w:t>
            </w:r>
            <w:r w:rsidRPr="00D86325">
              <w:rPr>
                <w:rFonts w:ascii="Verdana" w:hAnsi="Verdana" w:cs="Arial"/>
                <w:bCs/>
                <w:i/>
                <w:iCs/>
                <w:color w:val="000000" w:themeColor="text1"/>
              </w:rPr>
              <w:t>«de carácter administrativo y atípico regulado por los artículos 21 de la Ley 7ª de 1979 y 127 del DR. 2388 de 1979, al que no le son aplicables las normas de derecho individual del trabajo» </w:t>
            </w:r>
            <w:r w:rsidRPr="00D86325">
              <w:rPr>
                <w:rFonts w:ascii="Verdana" w:hAnsi="Verdana" w:cs="Arial"/>
                <w:bCs/>
                <w:color w:val="000000" w:themeColor="text1"/>
              </w:rPr>
              <w:t>por lo que, por esa naturaleza especial que ligó a los codemandados, </w:t>
            </w:r>
            <w:r w:rsidRPr="00D86325">
              <w:rPr>
                <w:rFonts w:ascii="Verdana" w:hAnsi="Verdana" w:cs="Arial"/>
                <w:bCs/>
                <w:i/>
                <w:iCs/>
                <w:color w:val="000000" w:themeColor="text1"/>
              </w:rPr>
              <w:t>«no tiene cabida el artículo 34 del CST», pues, a voces del artículo 127 de Decreto 2388 de 1979, la prestación del servicio «se cumple bajo la exclusiva responsabilidad de la institución». </w:t>
            </w:r>
          </w:p>
          <w:p w14:paraId="791C352A" w14:textId="77777777" w:rsidR="00941A67" w:rsidRPr="00D86325" w:rsidRDefault="00941A67" w:rsidP="00A35C22">
            <w:pPr>
              <w:spacing w:after="0" w:line="240" w:lineRule="auto"/>
              <w:jc w:val="both"/>
              <w:rPr>
                <w:rFonts w:ascii="Verdana" w:hAnsi="Verdana" w:cs="Arial"/>
                <w:bCs/>
                <w:color w:val="000000" w:themeColor="text1"/>
              </w:rPr>
            </w:pPr>
          </w:p>
          <w:p w14:paraId="451EAA4E" w14:textId="4F3BF8E9" w:rsidR="00941A67" w:rsidRPr="00D86325" w:rsidRDefault="005626FB" w:rsidP="00A35C22">
            <w:pPr>
              <w:spacing w:after="0" w:line="240" w:lineRule="auto"/>
              <w:jc w:val="both"/>
              <w:rPr>
                <w:rFonts w:ascii="Verdana" w:hAnsi="Verdana" w:cs="Arial"/>
                <w:bCs/>
                <w:color w:val="000000" w:themeColor="text1"/>
              </w:rPr>
            </w:pPr>
            <w:r w:rsidRPr="00D86325">
              <w:rPr>
                <w:rFonts w:ascii="Verdana" w:hAnsi="Verdana" w:cs="Arial"/>
                <w:bCs/>
                <w:color w:val="000000" w:themeColor="text1"/>
              </w:rPr>
              <w:t>Como se observa, el hilo argumentativo de la Sala de Casación Penal de la Corte Suprema de Justicia se cimentó en un alejamiento del precedente jurisprudencial fijado por la Sala Laboral de la misma corporación en decisión SL4430-2018, pues no existe razonabilidad en el argumento de las corporaciones accionadas, ya que realizaron un trato discriminatorio que conllevó a la vulneración del derecho a la igualdad y el debido proceso del ICBF. Por lo que, ordena que dentro de los 15 días siguientes a la notificación de la decisión del </w:t>
            </w:r>
            <w:r w:rsidRPr="00D86325">
              <w:rPr>
                <w:rFonts w:ascii="Verdana" w:hAnsi="Verdana" w:cs="Arial"/>
                <w:bCs/>
                <w:i/>
                <w:iCs/>
                <w:color w:val="000000" w:themeColor="text1"/>
              </w:rPr>
              <w:t>ad quem, </w:t>
            </w:r>
            <w:r w:rsidRPr="00D86325">
              <w:rPr>
                <w:rFonts w:ascii="Verdana" w:hAnsi="Verdana" w:cs="Arial"/>
                <w:bCs/>
                <w:color w:val="000000" w:themeColor="text1"/>
              </w:rPr>
              <w:t>la Sala Laboral del Tribunal Superior de Medellín deberá emitir una nueva decisión teniendo en cuenta lo señalado en sentencia SL4430-2018</w:t>
            </w:r>
          </w:p>
          <w:p w14:paraId="5D09D243" w14:textId="794E5FB9" w:rsidR="000D59A8" w:rsidRPr="00D86325" w:rsidRDefault="000D59A8" w:rsidP="00A35C22">
            <w:pPr>
              <w:shd w:val="clear" w:color="auto" w:fill="FFFFFF"/>
              <w:spacing w:after="0" w:line="240" w:lineRule="auto"/>
              <w:jc w:val="both"/>
              <w:textAlignment w:val="baseline"/>
              <w:rPr>
                <w:rFonts w:ascii="Verdana" w:hAnsi="Verdana" w:cs="Arial"/>
                <w:bCs/>
                <w:color w:val="000000" w:themeColor="text1"/>
              </w:rPr>
            </w:pPr>
            <w:r w:rsidRPr="00D86325">
              <w:rPr>
                <w:rFonts w:ascii="Verdana" w:hAnsi="Verdana" w:cs="Arial"/>
                <w:bCs/>
                <w:color w:val="000000" w:themeColor="text1"/>
              </w:rPr>
              <w:t xml:space="preserve">Teniendo en cuenta los argumentos precedentes, el lineamiento jurídico general sobre peticiones relacionadas con derechos de carácter laboral por parte de trabajadores de </w:t>
            </w:r>
            <w:r w:rsidR="0012335D" w:rsidRPr="00D86325">
              <w:rPr>
                <w:rFonts w:ascii="Verdana" w:hAnsi="Verdana" w:cs="Arial"/>
                <w:bCs/>
                <w:color w:val="000000" w:themeColor="text1"/>
              </w:rPr>
              <w:t>los operadores</w:t>
            </w:r>
            <w:r w:rsidRPr="00D86325">
              <w:rPr>
                <w:rFonts w:ascii="Verdana" w:hAnsi="Verdana" w:cs="Arial"/>
                <w:bCs/>
                <w:color w:val="000000" w:themeColor="text1"/>
              </w:rPr>
              <w:t>, se concreta en lo siguiente:</w:t>
            </w:r>
          </w:p>
          <w:p w14:paraId="5CD42F27" w14:textId="77777777" w:rsidR="000D59A8" w:rsidRPr="00D86325" w:rsidRDefault="000D59A8" w:rsidP="00A35C22">
            <w:pPr>
              <w:shd w:val="clear" w:color="auto" w:fill="FFFFFF"/>
              <w:spacing w:after="0" w:line="240" w:lineRule="auto"/>
              <w:jc w:val="both"/>
              <w:textAlignment w:val="baseline"/>
              <w:rPr>
                <w:rFonts w:ascii="Verdana" w:hAnsi="Verdana" w:cs="Arial"/>
                <w:bCs/>
                <w:color w:val="000000" w:themeColor="text1"/>
              </w:rPr>
            </w:pPr>
          </w:p>
          <w:p w14:paraId="5321CAB3" w14:textId="77777777" w:rsidR="000D59A8" w:rsidRPr="00D86325" w:rsidRDefault="000D59A8" w:rsidP="00A35C22">
            <w:pPr>
              <w:numPr>
                <w:ilvl w:val="0"/>
                <w:numId w:val="5"/>
              </w:numPr>
              <w:shd w:val="clear" w:color="auto" w:fill="FFFFFF"/>
              <w:spacing w:after="0" w:line="240" w:lineRule="auto"/>
              <w:jc w:val="both"/>
              <w:textAlignment w:val="baseline"/>
              <w:rPr>
                <w:rFonts w:ascii="Verdana" w:hAnsi="Verdana" w:cs="Arial"/>
                <w:bCs/>
                <w:color w:val="000000" w:themeColor="text1"/>
              </w:rPr>
            </w:pPr>
            <w:r w:rsidRPr="00D86325">
              <w:rPr>
                <w:rFonts w:ascii="Verdana" w:hAnsi="Verdana" w:cs="Arial"/>
                <w:bCs/>
                <w:color w:val="000000" w:themeColor="text1"/>
              </w:rPr>
              <w:t>El ICBF provee a una Institución de utilidad pública o social los bienes y recursos indispensables para la prestación total o parcial del servicio, actividad que ésta cumple bajo su exclusiva responsabilidad.</w:t>
            </w:r>
          </w:p>
          <w:p w14:paraId="526A2592" w14:textId="77777777" w:rsidR="000D59A8" w:rsidRPr="00D86325" w:rsidRDefault="000D59A8" w:rsidP="00A35C22">
            <w:pPr>
              <w:shd w:val="clear" w:color="auto" w:fill="FFFFFF"/>
              <w:spacing w:after="0" w:line="240" w:lineRule="auto"/>
              <w:ind w:left="720"/>
              <w:jc w:val="both"/>
              <w:textAlignment w:val="baseline"/>
              <w:rPr>
                <w:rFonts w:ascii="Verdana" w:hAnsi="Verdana" w:cs="Arial"/>
                <w:bCs/>
                <w:color w:val="000000" w:themeColor="text1"/>
              </w:rPr>
            </w:pPr>
          </w:p>
          <w:p w14:paraId="4D302522" w14:textId="77777777" w:rsidR="000D59A8" w:rsidRPr="00D86325" w:rsidRDefault="000D59A8" w:rsidP="00A35C22">
            <w:pPr>
              <w:numPr>
                <w:ilvl w:val="0"/>
                <w:numId w:val="5"/>
              </w:numPr>
              <w:shd w:val="clear" w:color="auto" w:fill="FFFFFF"/>
              <w:spacing w:after="0" w:line="240" w:lineRule="auto"/>
              <w:jc w:val="both"/>
              <w:textAlignment w:val="baseline"/>
              <w:rPr>
                <w:rFonts w:ascii="Verdana" w:hAnsi="Verdana" w:cs="Arial"/>
                <w:bCs/>
                <w:color w:val="000000" w:themeColor="text1"/>
              </w:rPr>
            </w:pPr>
            <w:r w:rsidRPr="00D86325">
              <w:rPr>
                <w:rFonts w:ascii="Verdana" w:hAnsi="Verdana" w:cs="Arial"/>
                <w:bCs/>
                <w:color w:val="000000" w:themeColor="text1"/>
              </w:rPr>
              <w:t>La relación laboral con las personas contratadas para trabajar en los Hogares Infantiles se establece directamente entre éstas y sus Asociaciones o Juntas Administradoras, las cuales celebran los contratos de trabajo y en su condición de empleadores se obligan a cumplir las leyes laborales vigentes.</w:t>
            </w:r>
          </w:p>
          <w:p w14:paraId="4B0D740D" w14:textId="77777777" w:rsidR="000D59A8" w:rsidRPr="00D86325" w:rsidRDefault="000D59A8" w:rsidP="00A35C22">
            <w:pPr>
              <w:shd w:val="clear" w:color="auto" w:fill="FFFFFF"/>
              <w:spacing w:after="0" w:line="240" w:lineRule="auto"/>
              <w:jc w:val="both"/>
              <w:textAlignment w:val="baseline"/>
              <w:rPr>
                <w:rFonts w:ascii="Verdana" w:hAnsi="Verdana" w:cs="Arial"/>
                <w:bCs/>
                <w:color w:val="000000" w:themeColor="text1"/>
              </w:rPr>
            </w:pPr>
          </w:p>
          <w:p w14:paraId="5E29E35F" w14:textId="77777777" w:rsidR="000D59A8" w:rsidRPr="00D86325" w:rsidRDefault="000D59A8" w:rsidP="00A35C22">
            <w:pPr>
              <w:numPr>
                <w:ilvl w:val="0"/>
                <w:numId w:val="5"/>
              </w:numPr>
              <w:shd w:val="clear" w:color="auto" w:fill="FFFFFF"/>
              <w:spacing w:after="0" w:line="240" w:lineRule="auto"/>
              <w:jc w:val="both"/>
              <w:textAlignment w:val="baseline"/>
              <w:rPr>
                <w:rFonts w:ascii="Verdana" w:hAnsi="Verdana" w:cs="Arial"/>
                <w:bCs/>
                <w:color w:val="000000" w:themeColor="text1"/>
              </w:rPr>
            </w:pPr>
            <w:r w:rsidRPr="00D86325">
              <w:rPr>
                <w:rFonts w:ascii="Verdana" w:hAnsi="Verdana" w:cs="Arial"/>
                <w:bCs/>
                <w:color w:val="000000" w:themeColor="text1"/>
              </w:rPr>
              <w:t xml:space="preserve">El ICBF no tiene ningún tipo de injerencia en asuntos relacionados con salarios, prestaciones (retroactividad en cesantías), indemnizaciones, intereses laborales y </w:t>
            </w:r>
            <w:r w:rsidRPr="00D86325">
              <w:rPr>
                <w:rFonts w:ascii="Verdana" w:hAnsi="Verdana" w:cs="Arial"/>
                <w:bCs/>
                <w:color w:val="000000" w:themeColor="text1"/>
              </w:rPr>
              <w:lastRenderedPageBreak/>
              <w:t>aportes al Sistema General de Seguridad Social (Salud, Pensión y Riesgos Profesionales) derivados de las relaciones laborales existentes entre las Entidades Administradoras de la modalidad de Hogares Infantiles y sus trabajadores, ya que estas son autónomas en el manejo de sus relaciones laborales.</w:t>
            </w:r>
          </w:p>
          <w:p w14:paraId="57EC54F5" w14:textId="77777777" w:rsidR="00A1194E" w:rsidRPr="00D86325" w:rsidRDefault="00A1194E" w:rsidP="00A35C22">
            <w:pPr>
              <w:pStyle w:val="Prrafodelista"/>
              <w:spacing w:line="240" w:lineRule="auto"/>
              <w:rPr>
                <w:rFonts w:ascii="Verdana" w:hAnsi="Verdana" w:cs="Arial"/>
                <w:bCs/>
                <w:color w:val="000000" w:themeColor="text1"/>
              </w:rPr>
            </w:pPr>
          </w:p>
          <w:p w14:paraId="059F19F7" w14:textId="4E5EE438" w:rsidR="00A1194E" w:rsidRPr="00D86325" w:rsidRDefault="00A1194E" w:rsidP="00A35C22">
            <w:pPr>
              <w:pStyle w:val="Prrafodelista"/>
              <w:spacing w:line="240" w:lineRule="auto"/>
              <w:jc w:val="both"/>
              <w:rPr>
                <w:rFonts w:ascii="Verdana" w:hAnsi="Verdana" w:cs="Arial"/>
                <w:bCs/>
                <w:color w:val="000000" w:themeColor="text1"/>
                <w:lang w:val="es-ES"/>
              </w:rPr>
            </w:pPr>
            <w:r w:rsidRPr="00D86325">
              <w:rPr>
                <w:rFonts w:ascii="Verdana" w:hAnsi="Verdana" w:cs="Arial"/>
                <w:bCs/>
                <w:color w:val="000000" w:themeColor="text1"/>
              </w:rPr>
              <w:t>De conformidad con la</w:t>
            </w:r>
            <w:r w:rsidRPr="00D86325">
              <w:rPr>
                <w:rFonts w:ascii="Verdana" w:hAnsi="Verdana" w:cs="Arial"/>
                <w:bCs/>
                <w:i/>
                <w:iCs/>
                <w:color w:val="000000" w:themeColor="text1"/>
              </w:rPr>
              <w:t xml:space="preserve"> </w:t>
            </w:r>
            <w:r w:rsidRPr="00D86325">
              <w:rPr>
                <w:rFonts w:ascii="Verdana" w:hAnsi="Verdana" w:cs="Arial"/>
                <w:bCs/>
                <w:i/>
                <w:iCs/>
                <w:color w:val="000000" w:themeColor="text1"/>
                <w:lang w:val="es-ES"/>
              </w:rPr>
              <w:t xml:space="preserve">GUÍA GENERAL PARA EL EJERICICIO DE SUPERVISIÓN E INTERVENTORÍA DE CONTRATOS Y CONVENIOS SUSCRITOS POR EL ICBF </w:t>
            </w:r>
            <w:r w:rsidRPr="00D86325">
              <w:rPr>
                <w:rFonts w:ascii="Verdana" w:hAnsi="Verdana" w:cs="Arial"/>
                <w:bCs/>
                <w:color w:val="000000" w:themeColor="text1"/>
                <w:lang w:val="es-ES"/>
              </w:rPr>
              <w:t xml:space="preserve">versión 3, dispone que debe existir unas acciones de seguimiento y control administrativo por parte del operador, a saber: </w:t>
            </w:r>
          </w:p>
          <w:p w14:paraId="1ACE763B" w14:textId="77777777" w:rsidR="00A1194E" w:rsidRPr="00D86325" w:rsidRDefault="00A1194E" w:rsidP="00A35C22">
            <w:pPr>
              <w:pStyle w:val="Prrafodelista"/>
              <w:spacing w:line="240" w:lineRule="auto"/>
              <w:jc w:val="both"/>
              <w:rPr>
                <w:rFonts w:ascii="Verdana" w:hAnsi="Verdana" w:cs="Arial"/>
                <w:bCs/>
                <w:i/>
                <w:iCs/>
                <w:color w:val="000000" w:themeColor="text1"/>
                <w:lang w:val="es-ES"/>
              </w:rPr>
            </w:pPr>
          </w:p>
          <w:p w14:paraId="29723067" w14:textId="6B849FE8" w:rsidR="00A1194E" w:rsidRPr="00D86325" w:rsidRDefault="00A1194E" w:rsidP="00A35C22">
            <w:pPr>
              <w:pStyle w:val="Prrafodelista"/>
              <w:spacing w:line="240" w:lineRule="auto"/>
              <w:jc w:val="both"/>
              <w:rPr>
                <w:rFonts w:ascii="Verdana" w:hAnsi="Verdana" w:cs="Arial"/>
                <w:bCs/>
                <w:i/>
                <w:iCs/>
                <w:color w:val="000000" w:themeColor="text1"/>
                <w:lang w:val="es-ES"/>
              </w:rPr>
            </w:pPr>
            <w:r w:rsidRPr="00D86325">
              <w:rPr>
                <w:rFonts w:ascii="Verdana" w:hAnsi="Verdana" w:cs="Arial"/>
                <w:bCs/>
                <w:i/>
                <w:iCs/>
                <w:color w:val="000000" w:themeColor="text1"/>
                <w:lang w:val="es-ES"/>
              </w:rPr>
              <w:t>“Verificar, de conformidad con los medios legalmente permitidos para el efecto, el cumplimiento de las obligaciones parafiscales y frente al Sistema de Seguridad Social Integral y pago de nómina a cargo del contratista o conveniente:</w:t>
            </w:r>
          </w:p>
          <w:p w14:paraId="05188403" w14:textId="14ADE0BD" w:rsidR="00A1194E" w:rsidRPr="00D86325" w:rsidRDefault="00A1194E" w:rsidP="00A35C22">
            <w:pPr>
              <w:pStyle w:val="Prrafodelista"/>
              <w:spacing w:line="240" w:lineRule="auto"/>
              <w:jc w:val="both"/>
              <w:rPr>
                <w:rFonts w:ascii="Verdana" w:hAnsi="Verdana" w:cs="Arial"/>
                <w:bCs/>
                <w:i/>
                <w:iCs/>
                <w:color w:val="000000" w:themeColor="text1"/>
                <w:lang w:val="es-ES"/>
              </w:rPr>
            </w:pPr>
            <w:r w:rsidRPr="00D86325">
              <w:rPr>
                <w:rFonts w:ascii="Verdana" w:hAnsi="Verdana" w:cs="Arial"/>
                <w:bCs/>
                <w:i/>
                <w:iCs/>
                <w:color w:val="000000" w:themeColor="text1"/>
                <w:lang w:val="es-ES"/>
              </w:rPr>
              <w:t>(…)</w:t>
            </w:r>
          </w:p>
          <w:p w14:paraId="4C7CCA78" w14:textId="4A45D9EB" w:rsidR="00A1194E" w:rsidRPr="00D86325" w:rsidRDefault="00A1194E" w:rsidP="00A35C22">
            <w:pPr>
              <w:pStyle w:val="Prrafodelista"/>
              <w:spacing w:line="240" w:lineRule="auto"/>
              <w:jc w:val="both"/>
              <w:rPr>
                <w:rFonts w:ascii="Verdana" w:hAnsi="Verdana" w:cs="Arial"/>
                <w:bCs/>
                <w:i/>
                <w:iCs/>
                <w:color w:val="000000" w:themeColor="text1"/>
                <w:lang w:val="es-ES"/>
              </w:rPr>
            </w:pPr>
            <w:r w:rsidRPr="00D86325">
              <w:rPr>
                <w:rFonts w:ascii="Verdana" w:hAnsi="Verdana" w:cs="Arial"/>
                <w:bCs/>
                <w:i/>
                <w:iCs/>
                <w:color w:val="000000" w:themeColor="text1"/>
                <w:lang w:val="es-ES"/>
              </w:rPr>
              <w:t>Así las cosas, cuando la contratación se realice con personas jurídicas, éstas deberán acreditar el pago de las remuneraciones y aportes de sus empleados, mediante los siguientes documentos: a) soportes oficiales de pago de nómina, seguridad social y parafiscales a las respectivas entidades b) certificación expedida por el revisor fiscal, cuando éste exista de acuerdo con los requerimientos de ley, por el contador público y por el representante legal, durante un lapso equivalente al que exija el respectivo régimen de contratación para que se hubiera constituido la sociedad, el cual en todo caso no será inferior a los seis (6) meses anteriores a la celebración del contrato/convenio”.</w:t>
            </w:r>
          </w:p>
          <w:p w14:paraId="6A25AB5F" w14:textId="77777777" w:rsidR="00A1194E" w:rsidRPr="00D86325" w:rsidRDefault="00A1194E" w:rsidP="00A35C22">
            <w:pPr>
              <w:pStyle w:val="Prrafodelista"/>
              <w:spacing w:line="240" w:lineRule="auto"/>
              <w:jc w:val="both"/>
              <w:rPr>
                <w:rFonts w:ascii="Verdana" w:hAnsi="Verdana" w:cs="Arial"/>
                <w:bCs/>
                <w:i/>
                <w:iCs/>
                <w:color w:val="000000" w:themeColor="text1"/>
                <w:lang w:val="es-ES"/>
              </w:rPr>
            </w:pPr>
          </w:p>
          <w:p w14:paraId="3663F12E" w14:textId="77777777" w:rsidR="000D59A8" w:rsidRPr="00D86325" w:rsidRDefault="000D59A8" w:rsidP="00A35C22">
            <w:pPr>
              <w:numPr>
                <w:ilvl w:val="0"/>
                <w:numId w:val="5"/>
              </w:numPr>
              <w:shd w:val="clear" w:color="auto" w:fill="FFFFFF"/>
              <w:spacing w:after="0" w:line="240" w:lineRule="auto"/>
              <w:jc w:val="both"/>
              <w:textAlignment w:val="baseline"/>
              <w:rPr>
                <w:rFonts w:ascii="Verdana" w:hAnsi="Verdana" w:cs="Arial"/>
                <w:bCs/>
                <w:color w:val="000000" w:themeColor="text1"/>
              </w:rPr>
            </w:pPr>
            <w:r w:rsidRPr="00D86325">
              <w:rPr>
                <w:rFonts w:ascii="Verdana" w:hAnsi="Verdana" w:cs="Arial"/>
                <w:bCs/>
                <w:color w:val="000000" w:themeColor="text1"/>
              </w:rPr>
              <w:t>El vínculo contractual se establece con las entidades administradoras de los Hogares Infantiles mediante contratos de aporte, cuyo objeto y obligaciones limitan el ámbito de responsabilidades del ICBF.</w:t>
            </w:r>
          </w:p>
          <w:p w14:paraId="33284ABA" w14:textId="77777777" w:rsidR="000D59A8" w:rsidRPr="00D86325" w:rsidRDefault="000D59A8" w:rsidP="00A35C22">
            <w:pPr>
              <w:spacing w:after="0" w:line="240" w:lineRule="auto"/>
              <w:jc w:val="both"/>
              <w:rPr>
                <w:rFonts w:ascii="Verdana" w:hAnsi="Verdana" w:cs="Arial"/>
                <w:bCs/>
                <w:color w:val="000000" w:themeColor="text1"/>
              </w:rPr>
            </w:pPr>
          </w:p>
          <w:p w14:paraId="2BC79352" w14:textId="77777777" w:rsidR="000D59A8" w:rsidRPr="00D86325" w:rsidRDefault="000D59A8" w:rsidP="00A35C22">
            <w:pPr>
              <w:spacing w:after="0" w:line="240" w:lineRule="auto"/>
              <w:jc w:val="both"/>
              <w:rPr>
                <w:rFonts w:ascii="Verdana" w:hAnsi="Verdana" w:cs="Arial"/>
                <w:bCs/>
                <w:color w:val="000000" w:themeColor="text1"/>
              </w:rPr>
            </w:pPr>
            <w:r w:rsidRPr="00D86325">
              <w:rPr>
                <w:rFonts w:ascii="Verdana" w:hAnsi="Verdana" w:cs="Arial"/>
                <w:bCs/>
                <w:color w:val="000000" w:themeColor="text1"/>
              </w:rPr>
              <w:t>También es importante especificar que si bien, el operador puede funcionar con dineros o presupuesto del ICBF, en nada comprometen a esta entidad, pues con ello no hacen más que corroborar la obligación adquirida por el instituto para proveer de dineros o bienes indispensables para la prestación total o parcial del servicio público de bienestar familiar, actividad que, se itera, por ley la entidad contratista debía ejecutar bajo su exclusiva responsabilidad con personal de su dependencia, pero de acuerdo con las normas y el control del ICBF (Art. 127 del Decreto 2388 de 1979). Esto es, que dicho instituto como ente público debe velar porque los dineros puestos a disposición de los particulares para su funcionamiento mediante la modalidad de aportes, se destine tal como lo ordena la ley, y ello no hace que asuma la responsabilidad en temas laborales de los empleados del hogar, simplemente es su obligación constitucional.</w:t>
            </w:r>
          </w:p>
          <w:p w14:paraId="226B6AC9" w14:textId="77777777" w:rsidR="000D59A8" w:rsidRPr="00D86325" w:rsidRDefault="000D59A8" w:rsidP="00A35C22">
            <w:pPr>
              <w:spacing w:after="0" w:line="240" w:lineRule="auto"/>
              <w:jc w:val="both"/>
              <w:rPr>
                <w:rFonts w:ascii="Verdana" w:hAnsi="Verdana" w:cs="Arial"/>
                <w:bCs/>
                <w:color w:val="000000" w:themeColor="text1"/>
              </w:rPr>
            </w:pPr>
          </w:p>
          <w:p w14:paraId="0DEC6B21" w14:textId="77777777" w:rsidR="000D59A8" w:rsidRPr="00D86325" w:rsidRDefault="000D59A8" w:rsidP="00A35C22">
            <w:pPr>
              <w:spacing w:after="0" w:line="240" w:lineRule="auto"/>
              <w:jc w:val="both"/>
              <w:rPr>
                <w:rFonts w:ascii="Verdana" w:hAnsi="Verdana" w:cs="Arial"/>
                <w:bCs/>
                <w:color w:val="000000" w:themeColor="text1"/>
              </w:rPr>
            </w:pPr>
            <w:r w:rsidRPr="00D86325">
              <w:rPr>
                <w:rFonts w:ascii="Verdana" w:hAnsi="Verdana" w:cs="Arial"/>
                <w:bCs/>
                <w:color w:val="000000" w:themeColor="text1"/>
              </w:rPr>
              <w:t>No tiene ningún asidero entonces las reclamaciones laborales, que pretenden las personas que ejecutan labores en programas de bienestar familiar, contratadas directamente por la EAS u otra clase de contratistas aun cuando funcionan como operadores del sistema.</w:t>
            </w:r>
          </w:p>
          <w:p w14:paraId="41D676C1" w14:textId="77777777" w:rsidR="000D59A8" w:rsidRPr="00D86325" w:rsidRDefault="000D59A8" w:rsidP="00A35C22">
            <w:pPr>
              <w:spacing w:after="0" w:line="240" w:lineRule="auto"/>
              <w:jc w:val="both"/>
              <w:rPr>
                <w:rFonts w:ascii="Verdana" w:hAnsi="Verdana" w:cs="Arial"/>
                <w:bCs/>
                <w:color w:val="000000" w:themeColor="text1"/>
              </w:rPr>
            </w:pPr>
          </w:p>
          <w:p w14:paraId="5B969291" w14:textId="77777777" w:rsidR="000D59A8" w:rsidRPr="00D86325" w:rsidRDefault="000D59A8" w:rsidP="00A35C22">
            <w:pPr>
              <w:spacing w:after="0" w:line="240" w:lineRule="auto"/>
              <w:jc w:val="both"/>
              <w:rPr>
                <w:rFonts w:ascii="Verdana" w:hAnsi="Verdana" w:cs="Arial"/>
                <w:bCs/>
                <w:color w:val="000000" w:themeColor="text1"/>
              </w:rPr>
            </w:pPr>
            <w:r w:rsidRPr="00D86325">
              <w:rPr>
                <w:rFonts w:ascii="Verdana" w:hAnsi="Verdana" w:cs="Arial"/>
                <w:bCs/>
                <w:color w:val="000000" w:themeColor="text1"/>
              </w:rPr>
              <w:t xml:space="preserve">En consecuencia, no es posible que exista solidaridad con la entidad administradora del Programa, respecto del pago de acreencias laborales, toda vez que la relación que existe con el INSTITUTO COLOMBIANO DE BIENESTAR FAMILIAR se genera como consecuencia de la suscripción del Contrato de Aporte, en donde se estipula la ausencia de relación laboral entre el ICBF y los trabajadores del operador. </w:t>
            </w:r>
          </w:p>
          <w:p w14:paraId="6E7B562A" w14:textId="77777777" w:rsidR="0012335D" w:rsidRPr="00D86325" w:rsidRDefault="0012335D" w:rsidP="00A35C22">
            <w:pPr>
              <w:spacing w:after="0" w:line="240" w:lineRule="auto"/>
              <w:jc w:val="both"/>
              <w:rPr>
                <w:rFonts w:ascii="Verdana" w:hAnsi="Verdana" w:cs="Arial"/>
                <w:bCs/>
                <w:color w:val="000000" w:themeColor="text1"/>
              </w:rPr>
            </w:pPr>
          </w:p>
          <w:p w14:paraId="6B2E8F92" w14:textId="77777777" w:rsidR="0012335D" w:rsidRPr="00D86325" w:rsidRDefault="0012335D" w:rsidP="0012335D">
            <w:pPr>
              <w:spacing w:after="0" w:line="240" w:lineRule="auto"/>
              <w:ind w:hanging="2"/>
              <w:jc w:val="both"/>
              <w:rPr>
                <w:rFonts w:ascii="Verdana" w:eastAsia="Arial Narrow" w:hAnsi="Verdana" w:cs="Arial"/>
                <w:b/>
                <w:bCs/>
                <w:color w:val="000000" w:themeColor="text1"/>
              </w:rPr>
            </w:pPr>
            <w:r w:rsidRPr="00D86325">
              <w:rPr>
                <w:rFonts w:ascii="Verdana" w:eastAsia="Arial Narrow" w:hAnsi="Verdana" w:cs="Arial"/>
                <w:b/>
                <w:bCs/>
                <w:color w:val="000000" w:themeColor="text1"/>
              </w:rPr>
              <w:t>CUMPLIMIENTO DE LAS RECOMENDACIONES DE LA OCI</w:t>
            </w:r>
          </w:p>
          <w:p w14:paraId="7446B478" w14:textId="77777777" w:rsidR="0012335D" w:rsidRPr="00D86325" w:rsidRDefault="0012335D" w:rsidP="0012335D">
            <w:pPr>
              <w:spacing w:after="0" w:line="240" w:lineRule="auto"/>
              <w:ind w:hanging="2"/>
              <w:jc w:val="both"/>
              <w:rPr>
                <w:rFonts w:ascii="Verdana" w:eastAsia="Arial Narrow" w:hAnsi="Verdana" w:cs="Arial"/>
                <w:color w:val="000000" w:themeColor="text1"/>
              </w:rPr>
            </w:pPr>
          </w:p>
          <w:p w14:paraId="5786571A"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r w:rsidRPr="00D86325">
              <w:rPr>
                <w:rFonts w:ascii="Verdana" w:eastAsia="Arial Narrow" w:hAnsi="Verdana" w:cs="Arial"/>
                <w:color w:val="000000" w:themeColor="text1"/>
              </w:rPr>
              <w:t xml:space="preserve">En todo caso, </w:t>
            </w:r>
            <w:r w:rsidRPr="00D86325">
              <w:rPr>
                <w:rFonts w:ascii="Verdana" w:eastAsia="Arial Narrow" w:hAnsi="Verdana" w:cs="Arial"/>
                <w:color w:val="000000" w:themeColor="text1"/>
                <w:lang w:val="es-CO"/>
              </w:rPr>
              <w:t xml:space="preserve">se sugiere a la Regional </w:t>
            </w:r>
            <w:r w:rsidRPr="00D86325">
              <w:rPr>
                <w:rFonts w:ascii="Verdana" w:eastAsia="Arial Narrow" w:hAnsi="Verdana" w:cs="Arial"/>
                <w:color w:val="000000" w:themeColor="text1"/>
                <w:highlight w:val="yellow"/>
                <w:lang w:val="es-CO"/>
              </w:rPr>
              <w:t>XXXX</w:t>
            </w:r>
            <w:r w:rsidRPr="00D86325">
              <w:rPr>
                <w:rFonts w:ascii="Verdana" w:eastAsia="Arial Narrow" w:hAnsi="Verdana" w:cs="Arial"/>
                <w:color w:val="000000" w:themeColor="text1"/>
                <w:lang w:val="es-CO"/>
              </w:rPr>
              <w:t xml:space="preserve"> que en el marco de sus funciones adelantar las actividades que permitan minimizar la recurrencia de este tipo de reclamaciones por la no verificación desde la supervisión (documentos soporte de ejecución-expediente contractual), sobre el pago de salarios por parte de los operadores-EAS y la revisión en el caso concreto sobre los soportes de la verificación realizada por la supervisión, de tal </w:t>
            </w:r>
            <w:r w:rsidRPr="00D86325">
              <w:rPr>
                <w:rFonts w:ascii="Verdana" w:eastAsia="Arial Narrow" w:hAnsi="Verdana" w:cs="Arial"/>
                <w:color w:val="000000" w:themeColor="text1"/>
                <w:lang w:val="es-CO"/>
              </w:rPr>
              <w:lastRenderedPageBreak/>
              <w:t>manera que se minimicen procesos en los cuales se realice la reclamación de salarios y prestaciones sociales efectuados por las madres comunitarias.</w:t>
            </w:r>
          </w:p>
          <w:p w14:paraId="57C875DB"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7B7A8CF3" w14:textId="46E9B569" w:rsidR="0012335D" w:rsidRPr="00D86325" w:rsidRDefault="00D76AFD" w:rsidP="0012335D">
            <w:pPr>
              <w:spacing w:after="0" w:line="240" w:lineRule="auto"/>
              <w:ind w:hanging="2"/>
              <w:jc w:val="both"/>
              <w:rPr>
                <w:rFonts w:ascii="Verdana" w:eastAsia="Arial Narrow" w:hAnsi="Verdana" w:cs="Arial"/>
                <w:color w:val="000000" w:themeColor="text1"/>
                <w:lang w:val="es-CO"/>
              </w:rPr>
            </w:pPr>
            <w:r w:rsidRPr="00D76AFD">
              <w:rPr>
                <w:rFonts w:ascii="Verdana" w:eastAsia="Arial Narrow" w:hAnsi="Verdana" w:cs="Arial"/>
                <w:color w:val="000000" w:themeColor="text1"/>
              </w:rPr>
              <w:t xml:space="preserve">En concordancia con lo anterior y atendiendo la recomendación de la Oficina de Control Interno del Instituto Colombiano de Bienestar Familiar (ICBF), se solicita compulsar copias del presente caso a la Oficina de Control Interno Disciplinario para lo de su competencia, a fin de que verifique la adecuada supervisión relacionada con el pago de salarios, prestaciones, honorarios, aportes al sistema de seguridad social y parafiscales del personal vinculado por el operador </w:t>
            </w:r>
            <w:r w:rsidRPr="00D76AFD">
              <w:rPr>
                <w:rFonts w:ascii="Verdana" w:eastAsia="Arial Narrow" w:hAnsi="Verdana" w:cs="Arial"/>
                <w:color w:val="000000" w:themeColor="text1"/>
                <w:highlight w:val="yellow"/>
              </w:rPr>
              <w:t>(  XXXXX</w:t>
            </w:r>
            <w:r>
              <w:rPr>
                <w:rFonts w:ascii="Verdana" w:eastAsia="Arial Narrow" w:hAnsi="Verdana" w:cs="Arial"/>
                <w:color w:val="000000" w:themeColor="text1"/>
              </w:rPr>
              <w:t xml:space="preserve">)  </w:t>
            </w:r>
            <w:r w:rsidRPr="00D76AFD">
              <w:rPr>
                <w:rFonts w:ascii="Verdana" w:eastAsia="Arial Narrow" w:hAnsi="Verdana" w:cs="Arial"/>
                <w:color w:val="000000" w:themeColor="text1"/>
              </w:rPr>
              <w:t>del servicio contratado.</w:t>
            </w:r>
          </w:p>
          <w:p w14:paraId="277E51A5" w14:textId="77777777" w:rsidR="0012335D" w:rsidRPr="00D86325" w:rsidRDefault="0012335D" w:rsidP="0012335D">
            <w:pPr>
              <w:spacing w:after="0" w:line="240" w:lineRule="auto"/>
              <w:ind w:hanging="2"/>
              <w:jc w:val="both"/>
              <w:rPr>
                <w:rFonts w:ascii="Verdana" w:eastAsia="Arial Narrow" w:hAnsi="Verdana" w:cs="Arial Narrow"/>
                <w:color w:val="000000" w:themeColor="text1"/>
                <w:lang w:val="es-CO"/>
              </w:rPr>
            </w:pPr>
            <w:r w:rsidRPr="00D86325">
              <w:rPr>
                <w:rFonts w:ascii="Verdana" w:eastAsia="Arial Narrow" w:hAnsi="Verdana" w:cs="Arial Narrow"/>
                <w:color w:val="000000" w:themeColor="text1"/>
                <w:highlight w:val="yellow"/>
                <w:lang w:val="es-CO"/>
              </w:rPr>
              <w:t>Finalmente, se recomendará que el apoderado judicial que conforme lo dispone el artículo 148 del C.G.P., aplicable por remisión normativa, revise la procedencia de solicitar acumulación de este proceso judicial con otros expedientes antiguos que cursen en contra del ICBF, por la misma causa, en el Juzgado XXXXX.</w:t>
            </w:r>
            <w:r w:rsidRPr="00D86325">
              <w:rPr>
                <w:rFonts w:ascii="Verdana" w:eastAsia="Arial Narrow" w:hAnsi="Verdana" w:cs="Arial Narrow"/>
                <w:color w:val="000000" w:themeColor="text1"/>
                <w:lang w:val="es-CO"/>
              </w:rPr>
              <w:t xml:space="preserve"> </w:t>
            </w:r>
          </w:p>
          <w:p w14:paraId="340EFB16"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3DC35428"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09806238" w14:textId="77777777" w:rsidR="0012335D" w:rsidRPr="00D86325" w:rsidRDefault="0012335D" w:rsidP="0012335D">
            <w:pPr>
              <w:spacing w:after="0" w:line="240" w:lineRule="auto"/>
              <w:ind w:hanging="2"/>
              <w:jc w:val="both"/>
              <w:rPr>
                <w:rFonts w:ascii="Verdana" w:eastAsia="Arial Narrow" w:hAnsi="Verdana" w:cs="Arial"/>
                <w:b/>
                <w:bCs/>
                <w:color w:val="000000" w:themeColor="text1"/>
                <w:lang w:val="es-CO"/>
              </w:rPr>
            </w:pPr>
            <w:r w:rsidRPr="00D86325">
              <w:rPr>
                <w:rFonts w:ascii="Verdana" w:eastAsia="Arial Narrow" w:hAnsi="Verdana" w:cs="Arial"/>
                <w:b/>
                <w:bCs/>
                <w:color w:val="000000" w:themeColor="text1"/>
                <w:lang w:val="es-CO"/>
              </w:rPr>
              <w:t xml:space="preserve">INTEGRACIÓN DEL LITISCONSORCIO NECESARIO DEL OPERADOR Y EL CONSORCIO FONDO DE SOLIDARIDAD PENSIONAL </w:t>
            </w:r>
          </w:p>
          <w:p w14:paraId="1D44B019"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6F2479EF"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6566B145" w14:textId="4CAEF901" w:rsidR="0012335D" w:rsidRPr="00D86325" w:rsidRDefault="0012335D" w:rsidP="0012335D">
            <w:pPr>
              <w:spacing w:after="0" w:line="240" w:lineRule="auto"/>
              <w:ind w:hanging="2"/>
              <w:jc w:val="both"/>
              <w:rPr>
                <w:rFonts w:ascii="Verdana" w:eastAsia="Arial Narrow" w:hAnsi="Verdana" w:cs="Arial"/>
                <w:color w:val="000000" w:themeColor="text1"/>
                <w:lang w:val="es-CO"/>
              </w:rPr>
            </w:pPr>
            <w:r w:rsidRPr="00D86325">
              <w:rPr>
                <w:rFonts w:ascii="Verdana" w:eastAsia="Arial Narrow" w:hAnsi="Verdana" w:cs="Arial"/>
                <w:color w:val="000000" w:themeColor="text1"/>
                <w:lang w:val="es-CO"/>
              </w:rPr>
              <w:t xml:space="preserve">De conformidad con las normas y citas transcritas, los hechos y pruebas aportadas con la demanda, se puede apreciar que la demandante prestó sus servicios en calidad de </w:t>
            </w:r>
            <w:r w:rsidRPr="00D86325">
              <w:rPr>
                <w:rFonts w:ascii="Verdana" w:eastAsia="Arial Narrow" w:hAnsi="Verdana" w:cs="Arial"/>
                <w:color w:val="000000" w:themeColor="text1"/>
                <w:highlight w:val="yellow"/>
                <w:lang w:val="es-CO"/>
              </w:rPr>
              <w:t>xxx</w:t>
            </w:r>
            <w:r w:rsidRPr="00D86325">
              <w:rPr>
                <w:rFonts w:ascii="Verdana" w:eastAsia="Arial Narrow" w:hAnsi="Verdana" w:cs="Arial"/>
                <w:color w:val="000000" w:themeColor="text1"/>
                <w:lang w:val="es-CO"/>
              </w:rPr>
              <w:t xml:space="preserve"> a la ASOCIACIÓN </w:t>
            </w:r>
            <w:r w:rsidRPr="00D86325">
              <w:rPr>
                <w:rFonts w:ascii="Verdana" w:eastAsia="Arial Narrow" w:hAnsi="Verdana" w:cs="Arial"/>
                <w:color w:val="000000" w:themeColor="text1"/>
                <w:highlight w:val="yellow"/>
                <w:lang w:val="es-CO"/>
              </w:rPr>
              <w:t>XXXX</w:t>
            </w:r>
            <w:r w:rsidRPr="00D86325">
              <w:rPr>
                <w:rFonts w:ascii="Verdana" w:eastAsia="Arial Narrow" w:hAnsi="Verdana" w:cs="Arial"/>
                <w:color w:val="000000" w:themeColor="text1"/>
                <w:lang w:val="es-CO"/>
              </w:rPr>
              <w:t>, Asociación que deben ser vinculada al proceso, por ser la responsable de la vinculación de la demandante, en lo que hace relación a los contratos de aporte celebrados entre las Asociaciones y el ICBF.</w:t>
            </w:r>
          </w:p>
          <w:p w14:paraId="2FAB9030"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63C75F65"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r w:rsidRPr="00D86325">
              <w:rPr>
                <w:rFonts w:ascii="Verdana" w:eastAsia="Arial Narrow" w:hAnsi="Verdana" w:cs="Arial"/>
                <w:color w:val="000000" w:themeColor="text1"/>
                <w:lang w:val="es-CO"/>
              </w:rPr>
              <w:t>Adicionalmente, según recomendación de la OCI del ICBF en casos de similares características ha solicitado que la Regional analice la vinculación como litis consorte necesario a FIDUAGRARIA S.A., hoy Consorcio Fondo de Solidaridad Pensional 2022, para lo relacionado con el reconocimiento y pago de las presuntas acreencias pensionales a cargo del operador. Además, proceda a realizar el llamamiento en garantía de la aseguradora que expide las pólizas de seguro de cumplimiento del respectivo contrato de aporte.</w:t>
            </w:r>
          </w:p>
          <w:p w14:paraId="72A39D59"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09D8629C" w14:textId="377B56CD" w:rsidR="0012335D" w:rsidRPr="00D86325" w:rsidRDefault="0012335D" w:rsidP="0012335D">
            <w:pPr>
              <w:spacing w:after="0" w:line="240" w:lineRule="auto"/>
              <w:ind w:hanging="2"/>
              <w:jc w:val="both"/>
              <w:rPr>
                <w:rFonts w:ascii="Verdana" w:eastAsia="Arial Narrow" w:hAnsi="Verdana" w:cs="Arial"/>
                <w:color w:val="000000" w:themeColor="text1"/>
                <w:lang w:val="es-CO"/>
              </w:rPr>
            </w:pPr>
            <w:r w:rsidRPr="00D86325">
              <w:rPr>
                <w:rFonts w:ascii="Verdana" w:eastAsia="Arial Narrow" w:hAnsi="Verdana" w:cs="Arial"/>
                <w:color w:val="000000" w:themeColor="text1"/>
                <w:lang w:val="es-CO"/>
              </w:rPr>
              <w:t xml:space="preserve">Lo anterior, teniendo en cuenta la disposición normativa del </w:t>
            </w:r>
            <w:r w:rsidR="00777295" w:rsidRPr="00D86325">
              <w:rPr>
                <w:rFonts w:ascii="Verdana" w:eastAsia="Arial Narrow" w:hAnsi="Verdana" w:cs="Arial"/>
                <w:color w:val="000000" w:themeColor="text1"/>
                <w:lang w:val="es-CO"/>
              </w:rPr>
              <w:t>artículo</w:t>
            </w:r>
            <w:r w:rsidRPr="00D86325">
              <w:rPr>
                <w:rFonts w:ascii="Verdana" w:eastAsia="Arial Narrow" w:hAnsi="Verdana" w:cs="Arial"/>
                <w:color w:val="000000" w:themeColor="text1"/>
                <w:lang w:val="es-CO"/>
              </w:rPr>
              <w:t xml:space="preserve"> 61 del C.G.P. que dice: </w:t>
            </w:r>
          </w:p>
          <w:p w14:paraId="4D4BB723"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6CBDA9F4" w14:textId="77777777" w:rsidR="0012335D" w:rsidRPr="00D86325" w:rsidRDefault="0012335D" w:rsidP="0012335D">
            <w:pPr>
              <w:spacing w:after="0" w:line="240" w:lineRule="auto"/>
              <w:ind w:hanging="2"/>
              <w:jc w:val="both"/>
              <w:rPr>
                <w:rFonts w:ascii="Verdana" w:eastAsia="Arial Narrow" w:hAnsi="Verdana" w:cs="Arial"/>
                <w:i/>
                <w:color w:val="000000" w:themeColor="text1"/>
                <w:lang w:val="es-CO"/>
              </w:rPr>
            </w:pPr>
            <w:r w:rsidRPr="00D86325">
              <w:rPr>
                <w:rFonts w:ascii="Verdana" w:eastAsia="Arial Narrow" w:hAnsi="Verdana" w:cs="Arial"/>
                <w:b/>
                <w:bCs/>
                <w:i/>
                <w:color w:val="000000" w:themeColor="text1"/>
                <w:lang w:val="es-CO"/>
              </w:rPr>
              <w:t>“Artículo</w:t>
            </w:r>
            <w:r w:rsidRPr="00D86325">
              <w:rPr>
                <w:rFonts w:ascii="Verdana" w:eastAsia="Arial Narrow" w:hAnsi="Verdana" w:cs="Arial"/>
                <w:i/>
                <w:color w:val="000000" w:themeColor="text1"/>
                <w:lang w:val="es-CO"/>
              </w:rPr>
              <w:t> </w:t>
            </w:r>
            <w:r w:rsidRPr="00D86325">
              <w:rPr>
                <w:rFonts w:ascii="Verdana" w:eastAsia="Arial Narrow" w:hAnsi="Verdana" w:cs="Arial"/>
                <w:b/>
                <w:bCs/>
                <w:i/>
                <w:color w:val="000000" w:themeColor="text1"/>
                <w:lang w:val="es-CO"/>
              </w:rPr>
              <w:t>61. </w:t>
            </w:r>
            <w:r w:rsidRPr="00D86325">
              <w:rPr>
                <w:rFonts w:ascii="Verdana" w:eastAsia="Arial Narrow" w:hAnsi="Verdana" w:cs="Arial"/>
                <w:b/>
                <w:bCs/>
                <w:i/>
                <w:iCs/>
                <w:color w:val="000000" w:themeColor="text1"/>
                <w:lang w:val="es-CO"/>
              </w:rPr>
              <w:t>Litisconsorcio necesario e integración del contradictorio</w:t>
            </w:r>
            <w:r w:rsidRPr="00D86325">
              <w:rPr>
                <w:rFonts w:ascii="Verdana" w:eastAsia="Arial Narrow" w:hAnsi="Verdana" w:cs="Arial"/>
                <w:b/>
                <w:bCs/>
                <w:i/>
                <w:color w:val="000000" w:themeColor="text1"/>
                <w:lang w:val="es-CO"/>
              </w:rPr>
              <w:t>. </w:t>
            </w:r>
            <w:r w:rsidRPr="00D86325">
              <w:rPr>
                <w:rFonts w:ascii="Verdana" w:eastAsia="Arial Narrow" w:hAnsi="Verdana" w:cs="Arial"/>
                <w:i/>
                <w:color w:val="000000" w:themeColor="text1"/>
                <w:lang w:val="es-CO"/>
              </w:rPr>
              <w:t>Cuando el proceso verse sobre relaciones o actos jurídicos respecto de los cuales, por su naturaleza o por disposición legal, haya de resolverse de manera uniforme y no sea posible decidir de mérito sin la comparecencia de las personas que sean sujetos de tales relaciones o que intervinieron en dichos actos, la demanda deberá formularse por todas o dirigirse contra todas; si no se hiciere así, el juez, en el auto que admite la demanda, ordenará notificar y dar traslado de esta a quienes falten para integrar el contradictorio, en la forma y con el término de comparecencia dispuestos para el demandado.</w:t>
            </w:r>
          </w:p>
          <w:p w14:paraId="432DF997"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55CCEAC0"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r w:rsidRPr="00D86325">
              <w:rPr>
                <w:rFonts w:ascii="Verdana" w:eastAsia="Arial Narrow" w:hAnsi="Verdana" w:cs="Arial"/>
                <w:color w:val="000000" w:themeColor="text1"/>
                <w:lang w:val="es-CO"/>
              </w:rPr>
              <w:t>A su vez el artículo 181 de la misma codificación indica:</w:t>
            </w:r>
          </w:p>
          <w:p w14:paraId="315699DF"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6259DCD9" w14:textId="77777777" w:rsidR="0012335D" w:rsidRPr="00D86325" w:rsidRDefault="0012335D" w:rsidP="0012335D">
            <w:pPr>
              <w:spacing w:after="0" w:line="240" w:lineRule="auto"/>
              <w:ind w:hanging="2"/>
              <w:jc w:val="both"/>
              <w:rPr>
                <w:rFonts w:ascii="Verdana" w:eastAsia="Arial Narrow" w:hAnsi="Verdana" w:cs="Arial"/>
                <w:i/>
                <w:iCs/>
                <w:color w:val="000000" w:themeColor="text1"/>
                <w:lang w:val="es-CO"/>
              </w:rPr>
            </w:pPr>
            <w:r w:rsidRPr="00D86325">
              <w:rPr>
                <w:rFonts w:ascii="Verdana" w:eastAsia="Arial Narrow" w:hAnsi="Verdana" w:cs="Arial"/>
                <w:i/>
                <w:iCs/>
                <w:color w:val="000000" w:themeColor="text1"/>
                <w:lang w:val="es-CO"/>
              </w:rPr>
              <w:t>“(…)</w:t>
            </w:r>
          </w:p>
          <w:p w14:paraId="2C7A4CB2" w14:textId="77777777" w:rsidR="0012335D" w:rsidRPr="00D86325" w:rsidRDefault="0012335D" w:rsidP="0012335D">
            <w:pPr>
              <w:spacing w:after="0" w:line="240" w:lineRule="auto"/>
              <w:ind w:hanging="2"/>
              <w:jc w:val="both"/>
              <w:rPr>
                <w:rFonts w:ascii="Verdana" w:eastAsia="Arial Narrow" w:hAnsi="Verdana" w:cs="Arial"/>
                <w:i/>
                <w:iCs/>
                <w:color w:val="000000" w:themeColor="text1"/>
                <w:lang w:val="es-CO"/>
              </w:rPr>
            </w:pPr>
          </w:p>
          <w:p w14:paraId="6ADD16AA" w14:textId="77777777" w:rsidR="0012335D" w:rsidRPr="00D86325" w:rsidRDefault="0012335D" w:rsidP="0012335D">
            <w:pPr>
              <w:spacing w:after="0" w:line="240" w:lineRule="auto"/>
              <w:ind w:hanging="2"/>
              <w:jc w:val="both"/>
              <w:rPr>
                <w:rFonts w:ascii="Verdana" w:eastAsia="Arial Narrow" w:hAnsi="Verdana" w:cs="Arial"/>
                <w:i/>
                <w:iCs/>
                <w:color w:val="000000" w:themeColor="text1"/>
                <w:lang w:val="es-CO"/>
              </w:rPr>
            </w:pPr>
            <w:r w:rsidRPr="00D86325">
              <w:rPr>
                <w:rFonts w:ascii="Verdana" w:eastAsia="Arial Narrow" w:hAnsi="Verdana" w:cs="Arial"/>
                <w:b/>
                <w:i/>
                <w:iCs/>
                <w:color w:val="000000" w:themeColor="text1"/>
                <w:lang w:val="es-CO"/>
              </w:rPr>
              <w:t>En la sentencia se tendrá en cuenta cualquier hecho modificativo o extintivo del derecho sustancial sobre el cual verse el litigio, ocurrido después de haberse propuesto la demanda, siempre que aparezca probado y que haya sido alegado por la parte interesada a más tardar en su alegato de conclusión o que la ley permita considerarlo de oficio</w:t>
            </w:r>
            <w:r w:rsidRPr="00D86325">
              <w:rPr>
                <w:rFonts w:ascii="Verdana" w:eastAsia="Arial Narrow" w:hAnsi="Verdana" w:cs="Arial"/>
                <w:i/>
                <w:iCs/>
                <w:color w:val="000000" w:themeColor="text1"/>
                <w:lang w:val="es-CO"/>
              </w:rPr>
              <w:t>.” (Resaltado fuera del texto).</w:t>
            </w:r>
          </w:p>
          <w:p w14:paraId="3EBB54F8" w14:textId="77777777" w:rsidR="0012335D" w:rsidRPr="00D86325" w:rsidRDefault="0012335D" w:rsidP="0012335D">
            <w:pPr>
              <w:spacing w:after="0" w:line="240" w:lineRule="auto"/>
              <w:ind w:hanging="2"/>
              <w:jc w:val="both"/>
              <w:rPr>
                <w:rFonts w:ascii="Verdana" w:eastAsia="Arial Narrow" w:hAnsi="Verdana" w:cs="Arial"/>
                <w:i/>
                <w:iCs/>
                <w:color w:val="000000" w:themeColor="text1"/>
                <w:lang w:val="es-CO"/>
              </w:rPr>
            </w:pPr>
          </w:p>
          <w:p w14:paraId="33B7866F"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r w:rsidRPr="00D86325">
              <w:rPr>
                <w:rFonts w:ascii="Verdana" w:eastAsia="Arial Narrow" w:hAnsi="Verdana" w:cs="Arial"/>
                <w:color w:val="000000" w:themeColor="text1"/>
                <w:lang w:val="es-CO"/>
              </w:rPr>
              <w:t xml:space="preserve">La integración del Litisconsorcio necesario se realiza en virtud del Consorcio Fondo de Solidaridad Pensional 2022 identificado con el NIT 901.659.154-3 el cual fue constituido </w:t>
            </w:r>
            <w:r w:rsidRPr="00D86325">
              <w:rPr>
                <w:rFonts w:ascii="Verdana" w:eastAsia="Arial Narrow" w:hAnsi="Verdana" w:cs="Arial"/>
                <w:color w:val="000000" w:themeColor="text1"/>
                <w:lang w:val="es-CO"/>
              </w:rPr>
              <w:lastRenderedPageBreak/>
              <w:t>el 17 de noviembre de 2022, por las fiduciarias públicas, Sociedad Fiduciaria de Desarrollo Agropecuario S.A. – Fiduagraria S.A., Fiduciaria La Previsora S.A. – Fiduprevisora S.A. y Fiduciaria Central S.A. – Fiducentral S.A., suscribiendo con el Ministerio del Trabajo el Contrato de Encargo Fiduciario No. 719 de 2022, para administrar el Fondo de Solidaridad Pensional a partir del 1° de diciembre de 2022.</w:t>
            </w:r>
          </w:p>
          <w:p w14:paraId="22AD3016"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691A74B6" w14:textId="77777777" w:rsidR="0012335D" w:rsidRPr="00D86325" w:rsidRDefault="0012335D" w:rsidP="0012335D">
            <w:pPr>
              <w:spacing w:after="0" w:line="240" w:lineRule="auto"/>
              <w:ind w:hanging="2"/>
              <w:jc w:val="both"/>
              <w:rPr>
                <w:rFonts w:ascii="Verdana" w:eastAsia="Arial Narrow" w:hAnsi="Verdana" w:cs="Arial"/>
                <w:i/>
                <w:color w:val="000000" w:themeColor="text1"/>
                <w:lang w:val="es-CO"/>
              </w:rPr>
            </w:pPr>
            <w:r w:rsidRPr="00D86325">
              <w:rPr>
                <w:rFonts w:ascii="Verdana" w:eastAsia="Arial Narrow" w:hAnsi="Verdana" w:cs="Arial"/>
                <w:color w:val="000000" w:themeColor="text1"/>
                <w:lang w:val="es-CO"/>
              </w:rPr>
              <w:t>Por último, el numeral 5 del artículo 42 del Código General del Proceso expresa frente a las obligaciones del Juez</w:t>
            </w:r>
          </w:p>
          <w:p w14:paraId="36FC5737"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09AA9E71"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r w:rsidRPr="00D86325">
              <w:rPr>
                <w:rFonts w:ascii="Verdana" w:eastAsia="Arial Narrow" w:hAnsi="Verdana" w:cs="Arial"/>
                <w:b/>
                <w:bCs/>
                <w:color w:val="000000" w:themeColor="text1"/>
                <w:lang w:val="es-CO"/>
              </w:rPr>
              <w:t>“Artículo 42. </w:t>
            </w:r>
            <w:r w:rsidRPr="00D86325">
              <w:rPr>
                <w:rFonts w:ascii="Verdana" w:eastAsia="Arial Narrow" w:hAnsi="Verdana" w:cs="Arial"/>
                <w:b/>
                <w:bCs/>
                <w:i/>
                <w:iCs/>
                <w:color w:val="000000" w:themeColor="text1"/>
                <w:lang w:val="es-CO"/>
              </w:rPr>
              <w:t>Deberes del juez</w:t>
            </w:r>
            <w:r w:rsidRPr="00D86325">
              <w:rPr>
                <w:rFonts w:ascii="Verdana" w:eastAsia="Arial Narrow" w:hAnsi="Verdana" w:cs="Arial"/>
                <w:b/>
                <w:bCs/>
                <w:color w:val="000000" w:themeColor="text1"/>
                <w:lang w:val="es-CO"/>
              </w:rPr>
              <w:t>. </w:t>
            </w:r>
            <w:r w:rsidRPr="00D86325">
              <w:rPr>
                <w:rFonts w:ascii="Verdana" w:eastAsia="Arial Narrow" w:hAnsi="Verdana" w:cs="Arial"/>
                <w:color w:val="000000" w:themeColor="text1"/>
                <w:lang w:val="es-CO"/>
              </w:rPr>
              <w:t>Son deberes del juez:</w:t>
            </w:r>
          </w:p>
          <w:p w14:paraId="718D1723"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4CBD7B7F" w14:textId="77777777" w:rsidR="0012335D" w:rsidRPr="00D86325" w:rsidRDefault="0012335D" w:rsidP="0012335D">
            <w:pPr>
              <w:spacing w:after="0" w:line="240" w:lineRule="auto"/>
              <w:ind w:hanging="2"/>
              <w:jc w:val="both"/>
              <w:rPr>
                <w:rFonts w:ascii="Verdana" w:eastAsia="Arial Narrow" w:hAnsi="Verdana" w:cs="Arial"/>
                <w:i/>
                <w:color w:val="000000" w:themeColor="text1"/>
                <w:lang w:val="es-CO"/>
              </w:rPr>
            </w:pPr>
            <w:r w:rsidRPr="00D86325">
              <w:rPr>
                <w:rFonts w:ascii="Verdana" w:eastAsia="Arial Narrow" w:hAnsi="Verdana" w:cs="Arial"/>
                <w:i/>
                <w:color w:val="000000" w:themeColor="text1"/>
                <w:lang w:val="es-CO"/>
              </w:rPr>
              <w:t>“(…)</w:t>
            </w:r>
          </w:p>
          <w:p w14:paraId="1C3792A0" w14:textId="77777777" w:rsidR="0012335D" w:rsidRPr="00D86325" w:rsidRDefault="0012335D" w:rsidP="0012335D">
            <w:pPr>
              <w:spacing w:after="0" w:line="240" w:lineRule="auto"/>
              <w:ind w:hanging="2"/>
              <w:jc w:val="both"/>
              <w:rPr>
                <w:rFonts w:ascii="Verdana" w:eastAsia="Arial Narrow" w:hAnsi="Verdana" w:cs="Arial"/>
                <w:i/>
                <w:color w:val="000000" w:themeColor="text1"/>
                <w:lang w:val="es-CO"/>
              </w:rPr>
            </w:pPr>
          </w:p>
          <w:p w14:paraId="1B00D5A6" w14:textId="77777777" w:rsidR="0012335D" w:rsidRPr="00D86325" w:rsidRDefault="0012335D" w:rsidP="0012335D">
            <w:pPr>
              <w:spacing w:after="0" w:line="240" w:lineRule="auto"/>
              <w:ind w:hanging="2"/>
              <w:jc w:val="both"/>
              <w:rPr>
                <w:rFonts w:ascii="Verdana" w:eastAsia="Arial Narrow" w:hAnsi="Verdana" w:cs="Arial"/>
                <w:i/>
                <w:color w:val="000000" w:themeColor="text1"/>
                <w:lang w:val="es-CO"/>
              </w:rPr>
            </w:pPr>
            <w:r w:rsidRPr="00D86325">
              <w:rPr>
                <w:rFonts w:ascii="Verdana" w:eastAsia="Arial Narrow" w:hAnsi="Verdana" w:cs="Arial"/>
                <w:i/>
                <w:color w:val="000000" w:themeColor="text1"/>
                <w:lang w:val="es-CO"/>
              </w:rPr>
              <w:t>5. Adoptar las medidas autorizadas en este código para sanear los vicios de procedimiento o precaverlos, integrar el litisconsorcio necesario e interpretar la demanda de manera que permita decidir el fondo del asunto. Esta interpretación debe respetar el derecho de contradicción y el principio de congruencia.”</w:t>
            </w:r>
          </w:p>
          <w:p w14:paraId="0A110CC3" w14:textId="77777777" w:rsidR="0012335D" w:rsidRPr="00D86325" w:rsidRDefault="0012335D" w:rsidP="0012335D">
            <w:pPr>
              <w:spacing w:after="0" w:line="240" w:lineRule="auto"/>
              <w:ind w:hanging="2"/>
              <w:jc w:val="both"/>
              <w:rPr>
                <w:rFonts w:ascii="Verdana" w:eastAsia="Arial Narrow" w:hAnsi="Verdana" w:cs="Arial"/>
                <w:color w:val="000000" w:themeColor="text1"/>
                <w:lang w:val="es-CO"/>
              </w:rPr>
            </w:pPr>
          </w:p>
          <w:p w14:paraId="4B2344F2" w14:textId="77777777" w:rsidR="0012335D" w:rsidRPr="00D86325" w:rsidRDefault="0012335D" w:rsidP="0012335D">
            <w:pPr>
              <w:spacing w:after="0" w:line="240" w:lineRule="auto"/>
              <w:ind w:hanging="2"/>
              <w:jc w:val="both"/>
              <w:rPr>
                <w:rFonts w:ascii="Verdana" w:eastAsia="Arial Narrow" w:hAnsi="Verdana" w:cs="Arial"/>
                <w:b/>
                <w:bCs/>
                <w:color w:val="000000" w:themeColor="text1"/>
                <w:lang w:val="es-CO"/>
              </w:rPr>
            </w:pPr>
            <w:r w:rsidRPr="00D86325">
              <w:rPr>
                <w:rFonts w:ascii="Verdana" w:eastAsia="Arial Narrow" w:hAnsi="Verdana" w:cs="Arial"/>
                <w:b/>
                <w:bCs/>
                <w:color w:val="000000" w:themeColor="text1"/>
                <w:lang w:val="es-CO"/>
              </w:rPr>
              <w:t>SOBRE EL LLAMAMIENTO EN GARANTÍA A LA ASEGURADORA QUE EXPIDIÓ LA POLIZA DE CUMPLIMIENTO EN EL MARCO DEL CONTRATO DE APORTES</w:t>
            </w:r>
          </w:p>
          <w:p w14:paraId="468498E2" w14:textId="77777777" w:rsidR="00D76AFD" w:rsidRDefault="00D76AFD" w:rsidP="0012335D">
            <w:pPr>
              <w:spacing w:after="0" w:line="240" w:lineRule="auto"/>
              <w:jc w:val="both"/>
              <w:rPr>
                <w:rFonts w:ascii="Verdana" w:eastAsia="Arial Narrow" w:hAnsi="Verdana" w:cs="Arial"/>
                <w:b/>
                <w:bCs/>
                <w:color w:val="000000" w:themeColor="text1"/>
              </w:rPr>
            </w:pPr>
          </w:p>
          <w:p w14:paraId="30B5D40F" w14:textId="6BF58F3A" w:rsidR="0012335D" w:rsidRPr="00D76AFD" w:rsidRDefault="00D76AFD" w:rsidP="0012335D">
            <w:pPr>
              <w:spacing w:after="0" w:line="240" w:lineRule="auto"/>
              <w:jc w:val="both"/>
              <w:rPr>
                <w:rFonts w:ascii="Verdana" w:eastAsia="Arial Narrow" w:hAnsi="Verdana" w:cs="Arial"/>
                <w:color w:val="000000" w:themeColor="text1"/>
              </w:rPr>
            </w:pPr>
            <w:r w:rsidRPr="00D76AFD">
              <w:rPr>
                <w:rFonts w:ascii="Verdana" w:eastAsia="Arial Narrow" w:hAnsi="Verdana" w:cs="Arial"/>
                <w:color w:val="000000" w:themeColor="text1"/>
              </w:rPr>
              <w:t xml:space="preserve">Así las cosas, frente a la solicitud de llamamiento en garantía a la aseguradora </w:t>
            </w:r>
            <w:r w:rsidRPr="00D76AFD">
              <w:rPr>
                <w:rFonts w:ascii="Verdana" w:eastAsia="Arial Narrow" w:hAnsi="Verdana" w:cs="Arial"/>
                <w:color w:val="000000" w:themeColor="text1"/>
                <w:highlight w:val="yellow"/>
              </w:rPr>
              <w:t>XXXXXXX</w:t>
            </w:r>
            <w:r w:rsidRPr="00D76AFD">
              <w:rPr>
                <w:rFonts w:ascii="Verdana" w:eastAsia="Arial Narrow" w:hAnsi="Verdana" w:cs="Arial"/>
                <w:color w:val="000000" w:themeColor="text1"/>
              </w:rPr>
              <w:t>, para que responda por las obligaciones civiles y personales que se acrediten en el proceso, se observa que se cumplen los requisitos previstos en el Código General del Proceso (CGP)</w:t>
            </w:r>
          </w:p>
          <w:p w14:paraId="44257490" w14:textId="77777777" w:rsidR="00D76AFD" w:rsidRPr="00D86325" w:rsidRDefault="00D76AFD" w:rsidP="0012335D">
            <w:pPr>
              <w:spacing w:after="0" w:line="240" w:lineRule="auto"/>
              <w:jc w:val="both"/>
              <w:rPr>
                <w:rFonts w:ascii="Verdana" w:hAnsi="Verdana" w:cs="Arial"/>
                <w:color w:val="000000" w:themeColor="text1"/>
                <w:lang w:val="es-ES_tradnl"/>
              </w:rPr>
            </w:pPr>
          </w:p>
          <w:p w14:paraId="4A951439" w14:textId="77777777" w:rsidR="0012335D" w:rsidRPr="00D86325" w:rsidRDefault="0012335D" w:rsidP="0012335D">
            <w:pPr>
              <w:spacing w:after="0" w:line="240" w:lineRule="auto"/>
              <w:ind w:right="75"/>
              <w:jc w:val="both"/>
              <w:textAlignment w:val="baseline"/>
              <w:outlineLvl w:val="0"/>
              <w:rPr>
                <w:rFonts w:ascii="Verdana" w:eastAsia="Times New Roman" w:hAnsi="Verdana" w:cs="Arial"/>
                <w:i/>
                <w:iCs/>
                <w:color w:val="000000" w:themeColor="text1"/>
                <w:lang w:val="es-CO" w:eastAsia="es-CO"/>
              </w:rPr>
            </w:pPr>
            <w:r w:rsidRPr="00D86325">
              <w:rPr>
                <w:rFonts w:ascii="Verdana" w:eastAsia="Times New Roman" w:hAnsi="Verdana" w:cs="Arial"/>
                <w:color w:val="000000" w:themeColor="text1"/>
                <w:kern w:val="36"/>
                <w:lang w:val="es-CO" w:eastAsia="es-CO"/>
              </w:rPr>
              <w:t>“</w:t>
            </w:r>
            <w:r w:rsidRPr="00D86325">
              <w:rPr>
                <w:rFonts w:ascii="Verdana" w:eastAsia="Times New Roman" w:hAnsi="Verdana" w:cs="Arial"/>
                <w:b/>
                <w:bCs/>
                <w:i/>
                <w:iCs/>
                <w:color w:val="000000" w:themeColor="text1"/>
                <w:kern w:val="36"/>
                <w:lang w:val="es-CO" w:eastAsia="es-CO"/>
              </w:rPr>
              <w:t xml:space="preserve">Artículo 64. Llamamiento en Garantía. </w:t>
            </w:r>
            <w:r w:rsidRPr="00D86325">
              <w:rPr>
                <w:rFonts w:ascii="Verdana" w:hAnsi="Verdana" w:cs="Arial"/>
                <w:i/>
                <w:iCs/>
                <w:color w:val="000000" w:themeColor="text1"/>
                <w:shd w:val="clear" w:color="auto" w:fill="FFFFFF"/>
              </w:rPr>
              <w:t>Quien afirme tener derecho legal o contractual a exigir de otro la indemnización del perjuicio que llegare a sufrir o el reembolso total o parcial del pago que tuviere que hacer como resultado de la sentencia que se dicte en el proceso que promueva o se le promueva, o quien de acuerdo con la ley sustancial tenga derecho al saneamiento por evicción, podrá pedir, en la demanda o dentro del término para contestarla, que en el mismo proceso se resuelva sobre tal relación.</w:t>
            </w:r>
          </w:p>
          <w:p w14:paraId="5435A134" w14:textId="77777777" w:rsidR="0012335D" w:rsidRPr="00D86325" w:rsidRDefault="0012335D" w:rsidP="0012335D">
            <w:pPr>
              <w:spacing w:after="0" w:line="240" w:lineRule="auto"/>
              <w:jc w:val="both"/>
              <w:rPr>
                <w:rFonts w:ascii="Verdana" w:eastAsia="Times New Roman" w:hAnsi="Verdana" w:cs="Arial"/>
                <w:color w:val="000000" w:themeColor="text1"/>
                <w:lang w:val="es-CO" w:eastAsia="es-CO"/>
              </w:rPr>
            </w:pPr>
          </w:p>
          <w:p w14:paraId="28762135" w14:textId="77777777" w:rsidR="0012335D" w:rsidRPr="00D86325" w:rsidRDefault="0012335D" w:rsidP="0012335D">
            <w:pPr>
              <w:spacing w:after="0" w:line="240" w:lineRule="auto"/>
              <w:ind w:right="75"/>
              <w:jc w:val="both"/>
              <w:textAlignment w:val="baseline"/>
              <w:outlineLvl w:val="0"/>
              <w:rPr>
                <w:rFonts w:ascii="Verdana" w:eastAsia="Times New Roman" w:hAnsi="Verdana" w:cs="Arial"/>
                <w:i/>
                <w:iCs/>
                <w:color w:val="000000" w:themeColor="text1"/>
                <w:lang w:val="es-CO" w:eastAsia="es-CO"/>
              </w:rPr>
            </w:pPr>
            <w:r w:rsidRPr="00D86325">
              <w:rPr>
                <w:rFonts w:ascii="Verdana" w:eastAsia="Times New Roman" w:hAnsi="Verdana" w:cs="Arial"/>
                <w:b/>
                <w:bCs/>
                <w:i/>
                <w:iCs/>
                <w:color w:val="000000" w:themeColor="text1"/>
                <w:kern w:val="36"/>
                <w:lang w:val="es-CO" w:eastAsia="es-CO"/>
              </w:rPr>
              <w:t xml:space="preserve">Artículo 65. Requisitos del llamamiento. </w:t>
            </w:r>
            <w:r w:rsidRPr="00D86325">
              <w:rPr>
                <w:rFonts w:ascii="Verdana" w:eastAsia="Times New Roman" w:hAnsi="Verdana" w:cs="Arial"/>
                <w:i/>
                <w:iCs/>
                <w:color w:val="000000" w:themeColor="text1"/>
                <w:lang w:val="es-CO" w:eastAsia="es-CO"/>
              </w:rPr>
              <w:t>La demanda por medio de la cual se llame en garantía deberá cumplir con los mismos requisitos exigidos en el artículo 82 y demás normas aplicables.</w:t>
            </w:r>
          </w:p>
          <w:p w14:paraId="56E4B582" w14:textId="77777777" w:rsidR="0012335D" w:rsidRPr="00D86325" w:rsidRDefault="0012335D" w:rsidP="0012335D">
            <w:pPr>
              <w:spacing w:after="0" w:line="240" w:lineRule="auto"/>
              <w:ind w:right="75"/>
              <w:jc w:val="both"/>
              <w:textAlignment w:val="baseline"/>
              <w:outlineLvl w:val="0"/>
              <w:rPr>
                <w:rFonts w:ascii="Verdana" w:eastAsia="Times New Roman" w:hAnsi="Verdana" w:cs="Arial"/>
                <w:i/>
                <w:iCs/>
                <w:color w:val="000000" w:themeColor="text1"/>
                <w:lang w:val="es-CO" w:eastAsia="es-CO"/>
              </w:rPr>
            </w:pPr>
            <w:r w:rsidRPr="00D86325">
              <w:rPr>
                <w:rFonts w:ascii="Verdana" w:hAnsi="Verdana" w:cs="Arial"/>
                <w:i/>
                <w:iCs/>
                <w:color w:val="000000" w:themeColor="text1"/>
                <w:shd w:val="clear" w:color="auto" w:fill="FFFFFF"/>
              </w:rPr>
              <w:t>El convocado podrá a su vez llamar en garantía.</w:t>
            </w:r>
          </w:p>
          <w:p w14:paraId="1F143277" w14:textId="77777777" w:rsidR="0012335D" w:rsidRPr="00D86325" w:rsidRDefault="0012335D" w:rsidP="0012335D">
            <w:pPr>
              <w:spacing w:after="0" w:line="240" w:lineRule="auto"/>
              <w:jc w:val="both"/>
              <w:rPr>
                <w:rFonts w:ascii="Verdana" w:eastAsia="Times New Roman" w:hAnsi="Verdana" w:cs="Arial"/>
                <w:i/>
                <w:iCs/>
                <w:color w:val="000000" w:themeColor="text1"/>
                <w:lang w:val="es-CO" w:eastAsia="es-CO"/>
              </w:rPr>
            </w:pPr>
          </w:p>
          <w:p w14:paraId="64E0CAD5" w14:textId="77777777" w:rsidR="0012335D" w:rsidRPr="00D86325" w:rsidRDefault="0012335D" w:rsidP="0012335D">
            <w:pPr>
              <w:shd w:val="clear" w:color="auto" w:fill="FFFFFF"/>
              <w:spacing w:after="0" w:line="240" w:lineRule="auto"/>
              <w:jc w:val="both"/>
              <w:rPr>
                <w:rFonts w:ascii="Verdana" w:eastAsia="Times New Roman" w:hAnsi="Verdana" w:cs="Arial"/>
                <w:i/>
                <w:iCs/>
                <w:color w:val="000000" w:themeColor="text1"/>
                <w:lang w:val="es-CO" w:eastAsia="es-CO"/>
              </w:rPr>
            </w:pPr>
            <w:r w:rsidRPr="00D86325">
              <w:rPr>
                <w:rFonts w:ascii="Verdana" w:eastAsia="Times New Roman" w:hAnsi="Verdana" w:cs="Arial"/>
                <w:b/>
                <w:bCs/>
                <w:i/>
                <w:iCs/>
                <w:color w:val="000000" w:themeColor="text1"/>
                <w:lang w:val="es-CO" w:eastAsia="es-CO"/>
              </w:rPr>
              <w:t>Artículo</w:t>
            </w:r>
            <w:r w:rsidRPr="00D86325">
              <w:rPr>
                <w:rFonts w:ascii="Verdana" w:eastAsia="Times New Roman" w:hAnsi="Verdana" w:cs="Arial"/>
                <w:i/>
                <w:iCs/>
                <w:color w:val="000000" w:themeColor="text1"/>
                <w:lang w:val="es-CO" w:eastAsia="es-CO"/>
              </w:rPr>
              <w:t> </w:t>
            </w:r>
            <w:r w:rsidRPr="00D86325">
              <w:rPr>
                <w:rFonts w:ascii="Verdana" w:eastAsia="Times New Roman" w:hAnsi="Verdana" w:cs="Arial"/>
                <w:b/>
                <w:bCs/>
                <w:i/>
                <w:iCs/>
                <w:color w:val="000000" w:themeColor="text1"/>
                <w:lang w:val="es-CO" w:eastAsia="es-CO"/>
              </w:rPr>
              <w:t>66. Trámite. </w:t>
            </w:r>
            <w:r w:rsidRPr="00D86325">
              <w:rPr>
                <w:rFonts w:ascii="Verdana" w:eastAsia="Times New Roman" w:hAnsi="Verdana" w:cs="Arial"/>
                <w:i/>
                <w:iCs/>
                <w:color w:val="000000" w:themeColor="text1"/>
                <w:lang w:val="es-CO" w:eastAsia="es-CO"/>
              </w:rPr>
              <w:t>Si el juez halla procedente el llamamiento, ordenará notificar personalmente al convocado y correrle traslado del escrito por el término de la demanda inicial. Si la notificación no se logra dentro de los seis (6) meses siguientes, el llamamiento será ineficaz. La misma regla se aplicará en el caso contemplado en el inciso segundo del artículo anterior.</w:t>
            </w:r>
          </w:p>
          <w:p w14:paraId="1ED231C9" w14:textId="77777777" w:rsidR="0012335D" w:rsidRPr="00D86325" w:rsidRDefault="0012335D" w:rsidP="0012335D">
            <w:pPr>
              <w:shd w:val="clear" w:color="auto" w:fill="FFFFFF"/>
              <w:spacing w:after="0" w:line="240" w:lineRule="auto"/>
              <w:jc w:val="both"/>
              <w:rPr>
                <w:rFonts w:ascii="Verdana" w:eastAsia="Times New Roman" w:hAnsi="Verdana" w:cs="Arial"/>
                <w:i/>
                <w:iCs/>
                <w:color w:val="000000" w:themeColor="text1"/>
                <w:lang w:val="es-CO" w:eastAsia="es-CO"/>
              </w:rPr>
            </w:pPr>
            <w:r w:rsidRPr="00D86325">
              <w:rPr>
                <w:rFonts w:ascii="Verdana" w:eastAsia="Times New Roman" w:hAnsi="Verdana" w:cs="Arial"/>
                <w:i/>
                <w:iCs/>
                <w:color w:val="000000" w:themeColor="text1"/>
                <w:lang w:val="es-CO" w:eastAsia="es-CO"/>
              </w:rPr>
              <w:br/>
              <w:t>El llamado en garantía podrá contestar en un solo escrito la demanda y el llamamiento, y solicitar las pruebas que pretenda hacer valer.</w:t>
            </w:r>
          </w:p>
          <w:p w14:paraId="00CCAEC9" w14:textId="77777777" w:rsidR="0012335D" w:rsidRPr="00D86325" w:rsidRDefault="0012335D" w:rsidP="0012335D">
            <w:pPr>
              <w:shd w:val="clear" w:color="auto" w:fill="FFFFFF"/>
              <w:spacing w:after="0" w:line="240" w:lineRule="auto"/>
              <w:jc w:val="both"/>
              <w:rPr>
                <w:rFonts w:ascii="Verdana" w:eastAsia="Times New Roman" w:hAnsi="Verdana" w:cs="Arial"/>
                <w:i/>
                <w:iCs/>
                <w:color w:val="000000" w:themeColor="text1"/>
                <w:lang w:val="es-CO" w:eastAsia="es-CO"/>
              </w:rPr>
            </w:pPr>
            <w:r w:rsidRPr="00D86325">
              <w:rPr>
                <w:rFonts w:ascii="Verdana" w:eastAsia="Times New Roman" w:hAnsi="Verdana" w:cs="Arial"/>
                <w:i/>
                <w:iCs/>
                <w:color w:val="000000" w:themeColor="text1"/>
                <w:lang w:val="es-CO" w:eastAsia="es-CO"/>
              </w:rPr>
              <w:br/>
              <w:t>En la sentencia se resolverá, cuando fuere pertinente, sobre la relación sustancial aducida y acerca de las indemnizaciones o restituciones a cargo del llamado en garantía.</w:t>
            </w:r>
          </w:p>
          <w:p w14:paraId="475A026D" w14:textId="77777777" w:rsidR="0012335D" w:rsidRPr="00D86325" w:rsidRDefault="0012335D" w:rsidP="0012335D">
            <w:pPr>
              <w:shd w:val="clear" w:color="auto" w:fill="FFFFFF"/>
              <w:spacing w:after="0" w:line="240" w:lineRule="auto"/>
              <w:jc w:val="both"/>
              <w:rPr>
                <w:rFonts w:ascii="Verdana" w:eastAsia="Times New Roman" w:hAnsi="Verdana" w:cs="Arial"/>
                <w:i/>
                <w:iCs/>
                <w:color w:val="000000" w:themeColor="text1"/>
                <w:lang w:val="es-CO" w:eastAsia="es-CO"/>
              </w:rPr>
            </w:pPr>
          </w:p>
          <w:p w14:paraId="631BEC49" w14:textId="77777777" w:rsidR="0012335D" w:rsidRPr="00D86325" w:rsidRDefault="0012335D" w:rsidP="0012335D">
            <w:pPr>
              <w:shd w:val="clear" w:color="auto" w:fill="FFFFFF"/>
              <w:spacing w:after="0" w:line="240" w:lineRule="auto"/>
              <w:jc w:val="both"/>
              <w:rPr>
                <w:rFonts w:ascii="Verdana" w:eastAsia="Times New Roman" w:hAnsi="Verdana" w:cs="Arial"/>
                <w:color w:val="000000" w:themeColor="text1"/>
                <w:lang w:val="es-CO" w:eastAsia="es-CO"/>
              </w:rPr>
            </w:pPr>
            <w:r w:rsidRPr="00D86325">
              <w:rPr>
                <w:rFonts w:ascii="Verdana" w:eastAsia="Times New Roman" w:hAnsi="Verdana" w:cs="Arial"/>
                <w:b/>
                <w:bCs/>
                <w:i/>
                <w:iCs/>
                <w:color w:val="000000" w:themeColor="text1"/>
                <w:lang w:val="es-CO" w:eastAsia="es-CO"/>
              </w:rPr>
              <w:t>Parágrafo. </w:t>
            </w:r>
            <w:r w:rsidRPr="00D86325">
              <w:rPr>
                <w:rFonts w:ascii="Verdana" w:eastAsia="Times New Roman" w:hAnsi="Verdana" w:cs="Arial"/>
                <w:i/>
                <w:iCs/>
                <w:color w:val="000000" w:themeColor="text1"/>
                <w:lang w:val="es-CO" w:eastAsia="es-CO"/>
              </w:rPr>
              <w:t>No será necesario notificar personalmente el auto que admite el llamamiento cuando el llamado actúe en el proceso como parte o como representante de alguna de las partes.</w:t>
            </w:r>
            <w:r w:rsidRPr="00D86325">
              <w:rPr>
                <w:rFonts w:ascii="Verdana" w:eastAsia="Times New Roman" w:hAnsi="Verdana" w:cs="Arial"/>
                <w:color w:val="000000" w:themeColor="text1"/>
                <w:lang w:val="es-CO" w:eastAsia="es-CO"/>
              </w:rPr>
              <w:t>”</w:t>
            </w:r>
          </w:p>
          <w:p w14:paraId="414485E9" w14:textId="77777777" w:rsidR="0012335D" w:rsidRPr="00D86325" w:rsidRDefault="0012335D" w:rsidP="0012335D">
            <w:pPr>
              <w:spacing w:after="0" w:line="240" w:lineRule="auto"/>
              <w:jc w:val="both"/>
              <w:rPr>
                <w:rFonts w:ascii="Verdana" w:hAnsi="Verdana" w:cs="Arial"/>
                <w:color w:val="000000" w:themeColor="text1"/>
                <w:lang w:val="es-CO"/>
              </w:rPr>
            </w:pPr>
          </w:p>
          <w:p w14:paraId="7CD209DE" w14:textId="77777777" w:rsidR="0012335D" w:rsidRPr="00D86325" w:rsidRDefault="0012335D" w:rsidP="0012335D">
            <w:pPr>
              <w:spacing w:after="0" w:line="240" w:lineRule="auto"/>
              <w:jc w:val="both"/>
              <w:rPr>
                <w:rFonts w:ascii="Verdana" w:hAnsi="Verdana" w:cs="Arial"/>
                <w:color w:val="000000" w:themeColor="text1"/>
                <w:lang w:val="es-ES_tradnl"/>
              </w:rPr>
            </w:pPr>
            <w:r w:rsidRPr="00D86325">
              <w:rPr>
                <w:rFonts w:ascii="Verdana" w:hAnsi="Verdana" w:cs="Arial"/>
                <w:color w:val="000000" w:themeColor="text1"/>
                <w:lang w:val="es-ES_tradnl"/>
              </w:rPr>
              <w:t>Adicionalmente, ha de precisarse que, frente a la relación de carácter legal de la entidad llamada en garantía, el Honorable Consejo de Estado, en sentencia del 5 de marzo de 2004, Magistrado ponente Ramiro Saavedra Becerra, radicado 05001-23-31-0001999-2584-01 (25203) manifestó:</w:t>
            </w:r>
          </w:p>
          <w:p w14:paraId="20D17BC4" w14:textId="77777777" w:rsidR="0012335D" w:rsidRPr="00D86325" w:rsidRDefault="0012335D" w:rsidP="0012335D">
            <w:pPr>
              <w:spacing w:after="0" w:line="240" w:lineRule="auto"/>
              <w:jc w:val="both"/>
              <w:rPr>
                <w:rFonts w:ascii="Verdana" w:hAnsi="Verdana" w:cs="Arial"/>
                <w:color w:val="000000" w:themeColor="text1"/>
                <w:lang w:val="es-ES_tradnl"/>
              </w:rPr>
            </w:pPr>
          </w:p>
          <w:p w14:paraId="1F85DA42" w14:textId="77777777" w:rsidR="0012335D" w:rsidRPr="00D86325" w:rsidRDefault="0012335D" w:rsidP="0012335D">
            <w:pPr>
              <w:spacing w:after="0" w:line="240" w:lineRule="auto"/>
              <w:jc w:val="both"/>
              <w:rPr>
                <w:rFonts w:ascii="Verdana" w:hAnsi="Verdana" w:cs="Arial"/>
                <w:i/>
                <w:color w:val="000000" w:themeColor="text1"/>
                <w:lang w:val="es-ES_tradnl"/>
              </w:rPr>
            </w:pPr>
            <w:r w:rsidRPr="00D86325">
              <w:rPr>
                <w:rFonts w:ascii="Verdana" w:hAnsi="Verdana" w:cs="Arial"/>
                <w:i/>
                <w:color w:val="000000" w:themeColor="text1"/>
                <w:lang w:val="es-ES_tradnl"/>
              </w:rPr>
              <w:t>“… sobre el particular, la sala ha sostenido que, si el llamamiento encuentra su origen en una relación legal y no contractual, bastará la mención y análisis de las disposiciones que lo permitan para que prospere la vinculación del tercero; a pesar, de que la parte que provoca el llamamiento tiene la carga en principio de acompañar la prueba sumaria de su existencia. Sin embargo, dicha afirmación, resulta válida siempre que la fuente de la obligación sea un contrato, pero se insiste no sucede lo mismo cuando el título jurídico que respalda el llamamiento es la ley.”</w:t>
            </w:r>
          </w:p>
          <w:p w14:paraId="4293FB7B" w14:textId="77777777" w:rsidR="0012335D" w:rsidRPr="00D86325" w:rsidRDefault="0012335D" w:rsidP="0012335D">
            <w:pPr>
              <w:spacing w:after="0" w:line="240" w:lineRule="auto"/>
              <w:jc w:val="both"/>
              <w:rPr>
                <w:rFonts w:ascii="Verdana" w:hAnsi="Verdana" w:cs="Arial"/>
                <w:i/>
                <w:color w:val="000000" w:themeColor="text1"/>
                <w:lang w:val="es-ES_tradnl"/>
              </w:rPr>
            </w:pPr>
          </w:p>
          <w:p w14:paraId="76EB5D98" w14:textId="544954FD" w:rsidR="0012335D" w:rsidRPr="00D86325" w:rsidRDefault="0012335D" w:rsidP="0012335D">
            <w:pPr>
              <w:spacing w:after="0" w:line="240" w:lineRule="auto"/>
              <w:jc w:val="both"/>
              <w:rPr>
                <w:rFonts w:ascii="Verdana" w:eastAsia="Arial Narrow" w:hAnsi="Verdana" w:cs="Arial"/>
                <w:color w:val="000000" w:themeColor="text1"/>
                <w:lang w:val="es-CO"/>
              </w:rPr>
            </w:pPr>
            <w:r w:rsidRPr="00D86325">
              <w:rPr>
                <w:rFonts w:ascii="Verdana" w:hAnsi="Verdana" w:cs="Arial"/>
                <w:color w:val="000000" w:themeColor="text1"/>
                <w:lang w:val="es-ES_tradnl"/>
              </w:rPr>
              <w:t xml:space="preserve">En los anteriores términos es pertinente que se vincule a la aseguradora que emitió la póliza No. </w:t>
            </w:r>
            <w:proofErr w:type="spellStart"/>
            <w:r w:rsidR="00D76AFD">
              <w:rPr>
                <w:rFonts w:ascii="Verdana" w:hAnsi="Verdana" w:cs="Arial"/>
                <w:color w:val="000000" w:themeColor="text1"/>
                <w:highlight w:val="yellow"/>
                <w:lang w:val="es-ES_tradnl"/>
              </w:rPr>
              <w:t>xxx</w:t>
            </w:r>
            <w:r w:rsidRPr="00D86325">
              <w:rPr>
                <w:rFonts w:ascii="Verdana" w:hAnsi="Verdana" w:cs="Arial"/>
                <w:color w:val="000000" w:themeColor="text1"/>
                <w:highlight w:val="yellow"/>
                <w:lang w:val="es-ES_tradnl"/>
              </w:rPr>
              <w:t>xx</w:t>
            </w:r>
            <w:r w:rsidR="00D76AFD">
              <w:rPr>
                <w:rFonts w:ascii="Verdana" w:hAnsi="Verdana" w:cs="Arial"/>
                <w:color w:val="000000" w:themeColor="text1"/>
                <w:highlight w:val="yellow"/>
                <w:lang w:val="es-ES_tradnl"/>
              </w:rPr>
              <w:t>xxx</w:t>
            </w:r>
            <w:r w:rsidRPr="00D86325">
              <w:rPr>
                <w:rFonts w:ascii="Verdana" w:hAnsi="Verdana" w:cs="Arial"/>
                <w:color w:val="000000" w:themeColor="text1"/>
                <w:highlight w:val="yellow"/>
                <w:lang w:val="es-ES_tradnl"/>
              </w:rPr>
              <w:t>x</w:t>
            </w:r>
            <w:proofErr w:type="spellEnd"/>
            <w:r w:rsidRPr="00D86325">
              <w:rPr>
                <w:rFonts w:ascii="Verdana" w:hAnsi="Verdana" w:cs="Arial"/>
                <w:color w:val="000000" w:themeColor="text1"/>
                <w:lang w:val="es-ES_tradnl"/>
              </w:rPr>
              <w:t xml:space="preserve"> bajo el entendido que es la garante de los incumplimientos en que pudo incurrir el operador respecto al pago de salarios y prestaciones que le corresponde asumir como empleador de la parte demandante. </w:t>
            </w:r>
          </w:p>
          <w:p w14:paraId="21E4A262" w14:textId="7393E32F" w:rsidR="0012335D" w:rsidRPr="00D86325" w:rsidRDefault="0012335D" w:rsidP="00A35C22">
            <w:pPr>
              <w:spacing w:before="100" w:beforeAutospacing="1" w:after="100" w:afterAutospacing="1" w:line="240" w:lineRule="auto"/>
              <w:ind w:right="572"/>
              <w:jc w:val="both"/>
              <w:rPr>
                <w:rFonts w:ascii="Verdana" w:hAnsi="Verdana" w:cs="Arial"/>
                <w:bCs/>
                <w:color w:val="000000" w:themeColor="text1"/>
              </w:rPr>
            </w:pPr>
          </w:p>
        </w:tc>
      </w:tr>
      <w:tr w:rsidR="00777295" w:rsidRPr="00D86325" w14:paraId="0850B9B5" w14:textId="77777777" w:rsidTr="00CC1354">
        <w:tc>
          <w:tcPr>
            <w:tcW w:w="10065" w:type="dxa"/>
            <w:tcBorders>
              <w:top w:val="single" w:sz="4" w:space="0" w:color="auto"/>
              <w:left w:val="single" w:sz="4" w:space="0" w:color="auto"/>
              <w:bottom w:val="single" w:sz="4" w:space="0" w:color="auto"/>
              <w:right w:val="single" w:sz="4" w:space="0" w:color="auto"/>
            </w:tcBorders>
          </w:tcPr>
          <w:p w14:paraId="4E19542C" w14:textId="77777777" w:rsidR="000D59A8" w:rsidRPr="00D86325" w:rsidRDefault="000D59A8" w:rsidP="00A35C22">
            <w:pPr>
              <w:spacing w:after="0" w:line="240" w:lineRule="auto"/>
              <w:jc w:val="center"/>
              <w:rPr>
                <w:rFonts w:ascii="Verdana" w:hAnsi="Verdana" w:cs="Arial"/>
                <w:b/>
                <w:color w:val="000000" w:themeColor="text1"/>
              </w:rPr>
            </w:pPr>
            <w:r w:rsidRPr="00D86325">
              <w:rPr>
                <w:rFonts w:ascii="Verdana" w:hAnsi="Verdana" w:cs="Arial"/>
                <w:b/>
                <w:color w:val="000000" w:themeColor="text1"/>
              </w:rPr>
              <w:lastRenderedPageBreak/>
              <w:t>6. RECOMENDACIÓN</w:t>
            </w:r>
          </w:p>
          <w:p w14:paraId="3CBF0DA7" w14:textId="77777777" w:rsidR="000D59A8" w:rsidRPr="00D86325" w:rsidRDefault="000D59A8" w:rsidP="00A35C22">
            <w:pPr>
              <w:spacing w:after="0" w:line="240" w:lineRule="auto"/>
              <w:jc w:val="both"/>
              <w:rPr>
                <w:rFonts w:ascii="Verdana" w:hAnsi="Verdana" w:cs="Arial"/>
                <w:b/>
                <w:color w:val="000000" w:themeColor="text1"/>
              </w:rPr>
            </w:pPr>
          </w:p>
          <w:p w14:paraId="356F4256" w14:textId="514EA027" w:rsidR="000D59A8" w:rsidRPr="00D86325" w:rsidRDefault="00777295" w:rsidP="000A360E">
            <w:pPr>
              <w:spacing w:after="0" w:line="240" w:lineRule="auto"/>
              <w:jc w:val="both"/>
              <w:rPr>
                <w:rFonts w:ascii="Verdana" w:eastAsia="Times New Roman" w:hAnsi="Verdana" w:cs="Arial"/>
                <w:color w:val="000000" w:themeColor="text1"/>
                <w:lang w:eastAsia="es-ES"/>
              </w:rPr>
            </w:pPr>
            <w:r w:rsidRPr="00D86325">
              <w:rPr>
                <w:rFonts w:ascii="Verdana" w:hAnsi="Verdana" w:cs="Arial"/>
                <w:bCs/>
                <w:color w:val="000000" w:themeColor="text1"/>
              </w:rPr>
              <w:t xml:space="preserve">En consideración de lo expuesto y analizado en el presente caso, la Oficina Jurídica recomienda al Comité de Defensa Judicial y Conciliaciones que </w:t>
            </w:r>
            <w:r w:rsidRPr="00D86325">
              <w:rPr>
                <w:rFonts w:ascii="Verdana" w:hAnsi="Verdana" w:cs="Arial"/>
                <w:b/>
                <w:bCs/>
                <w:color w:val="000000" w:themeColor="text1"/>
                <w:u w:val="single"/>
              </w:rPr>
              <w:t>NO ES PROCEDENTE PRESENTAR FÓRMULA DE CONCILIACIÓN</w:t>
            </w:r>
            <w:r w:rsidRPr="00D86325">
              <w:rPr>
                <w:rFonts w:ascii="Verdana" w:hAnsi="Verdana" w:cs="Arial"/>
                <w:bCs/>
                <w:color w:val="000000" w:themeColor="text1"/>
              </w:rPr>
              <w:t xml:space="preserve">, respecto de las pretensiones incoadas por la </w:t>
            </w:r>
            <w:r w:rsidR="00D76AFD">
              <w:rPr>
                <w:rFonts w:ascii="Verdana" w:hAnsi="Verdana" w:cs="Arial"/>
                <w:bCs/>
                <w:color w:val="000000" w:themeColor="text1"/>
              </w:rPr>
              <w:t xml:space="preserve">demandante </w:t>
            </w:r>
            <w:r w:rsidRPr="00D76AFD">
              <w:rPr>
                <w:rFonts w:ascii="Verdana" w:hAnsi="Verdana" w:cs="Arial"/>
                <w:color w:val="000000" w:themeColor="text1"/>
                <w:highlight w:val="yellow"/>
              </w:rPr>
              <w:t>XXXXX</w:t>
            </w:r>
            <w:r w:rsidRPr="00D86325">
              <w:rPr>
                <w:rFonts w:ascii="Verdana" w:hAnsi="Verdana" w:cs="Arial"/>
                <w:bCs/>
                <w:color w:val="000000" w:themeColor="text1"/>
              </w:rPr>
              <w:t xml:space="preserve"> en el marco del PROCESO ORDINARIO LABORAL DE UNICA INSTANCIA incoado en contra del </w:t>
            </w:r>
            <w:r w:rsidRPr="00D86325">
              <w:rPr>
                <w:rFonts w:ascii="Verdana" w:hAnsi="Verdana" w:cs="Arial"/>
                <w:color w:val="000000" w:themeColor="text1"/>
              </w:rPr>
              <w:t xml:space="preserve">INSTITUTO COLOMBIANO DE BIENESTAR FAMILIAR -ICBF Y </w:t>
            </w:r>
            <w:r w:rsidRPr="00D86325">
              <w:rPr>
                <w:rFonts w:ascii="Verdana" w:hAnsi="Verdana" w:cs="Arial"/>
                <w:color w:val="000000" w:themeColor="text1"/>
                <w:highlight w:val="yellow"/>
              </w:rPr>
              <w:t>XXXX</w:t>
            </w:r>
            <w:r w:rsidRPr="00D86325">
              <w:rPr>
                <w:rFonts w:ascii="Verdana" w:eastAsia="Times New Roman" w:hAnsi="Verdana" w:cs="Arial"/>
                <w:bCs/>
                <w:color w:val="000000" w:themeColor="text1"/>
                <w:lang w:eastAsia="es-ES"/>
              </w:rPr>
              <w:t xml:space="preserve"> </w:t>
            </w:r>
            <w:r w:rsidRPr="00D86325">
              <w:rPr>
                <w:rFonts w:ascii="Verdana" w:hAnsi="Verdana" w:cs="Arial"/>
                <w:bCs/>
                <w:color w:val="000000" w:themeColor="text1"/>
              </w:rPr>
              <w:t xml:space="preserve">litigio respecto del cual conoce el JUZGADO </w:t>
            </w:r>
            <w:r w:rsidRPr="00D86325">
              <w:rPr>
                <w:rFonts w:ascii="Verdana" w:hAnsi="Verdana" w:cs="Arial"/>
                <w:bCs/>
                <w:color w:val="000000" w:themeColor="text1"/>
                <w:highlight w:val="yellow"/>
              </w:rPr>
              <w:t xml:space="preserve">XXXXX </w:t>
            </w:r>
            <w:r w:rsidRPr="00D86325">
              <w:rPr>
                <w:rFonts w:ascii="Verdana" w:hAnsi="Verdana" w:cs="Arial"/>
                <w:bCs/>
                <w:color w:val="000000" w:themeColor="text1"/>
              </w:rPr>
              <w:t xml:space="preserve">bajo el radicado No. </w:t>
            </w:r>
            <w:r w:rsidRPr="00D86325">
              <w:rPr>
                <w:rFonts w:ascii="Verdana" w:hAnsi="Verdana" w:cs="Arial"/>
                <w:color w:val="000000" w:themeColor="text1"/>
                <w:highlight w:val="yellow"/>
                <w:lang w:val="es-CO" w:eastAsia="es-CO"/>
              </w:rPr>
              <w:t>XXXX</w:t>
            </w:r>
            <w:r w:rsidRPr="00D86325">
              <w:rPr>
                <w:rFonts w:ascii="Verdana" w:eastAsia="Arial" w:hAnsi="Verdana" w:cs="Arial"/>
                <w:bCs/>
                <w:color w:val="000000" w:themeColor="text1"/>
              </w:rPr>
              <w:t>.</w:t>
            </w:r>
            <w:r w:rsidRPr="00D86325">
              <w:rPr>
                <w:rFonts w:ascii="Verdana" w:hAnsi="Verdana" w:cs="Arial"/>
                <w:color w:val="000000" w:themeColor="text1"/>
                <w:lang w:val="es-CO"/>
              </w:rPr>
              <w:t xml:space="preserve"> T</w:t>
            </w:r>
            <w:r w:rsidRPr="00D86325">
              <w:rPr>
                <w:rFonts w:ascii="Verdana" w:hAnsi="Verdana" w:cs="Arial"/>
                <w:bCs/>
                <w:color w:val="000000" w:themeColor="text1"/>
              </w:rPr>
              <w:t xml:space="preserve">oda vez que NO se configuró una relación laboral entre la demandante como madre </w:t>
            </w:r>
            <w:r w:rsidR="00D76AFD" w:rsidRPr="00D86325">
              <w:rPr>
                <w:rFonts w:ascii="Verdana" w:hAnsi="Verdana" w:cs="Arial"/>
                <w:bCs/>
                <w:color w:val="000000" w:themeColor="text1"/>
              </w:rPr>
              <w:t>comunitaria y</w:t>
            </w:r>
            <w:r w:rsidRPr="00D86325">
              <w:rPr>
                <w:rFonts w:ascii="Verdana" w:hAnsi="Verdana" w:cs="Arial"/>
                <w:bCs/>
                <w:color w:val="000000" w:themeColor="text1"/>
              </w:rPr>
              <w:t xml:space="preserve"> el ICBF, razón por la cual, no le asiste obligación alguna a la Entidad en el pago de salarios, prestaciones sociales, indemnizaciones y aportes parafiscales de conformidad con en el ordenamiento jurídico y la jurisprudencia emanada por las altas cortes.</w:t>
            </w:r>
          </w:p>
        </w:tc>
      </w:tr>
    </w:tbl>
    <w:p w14:paraId="44DF57C8" w14:textId="77777777" w:rsidR="00C00746" w:rsidRDefault="00C00746" w:rsidP="00C00746">
      <w:pPr>
        <w:spacing w:after="0" w:line="240" w:lineRule="auto"/>
        <w:jc w:val="center"/>
        <w:rPr>
          <w:rFonts w:ascii="Verdana" w:hAnsi="Verdana" w:cs="Arial"/>
          <w:b/>
          <w:highlight w:val="yellow"/>
        </w:rPr>
      </w:pPr>
    </w:p>
    <w:p w14:paraId="79CF66F1" w14:textId="21CCB242" w:rsidR="00C00746" w:rsidRPr="009024DC" w:rsidRDefault="00C00746" w:rsidP="00C00746">
      <w:pPr>
        <w:spacing w:after="0" w:line="240" w:lineRule="auto"/>
        <w:jc w:val="center"/>
        <w:rPr>
          <w:rFonts w:ascii="Verdana" w:hAnsi="Verdana" w:cs="Arial"/>
          <w:b/>
        </w:rPr>
      </w:pPr>
      <w:r>
        <w:rPr>
          <w:rFonts w:ascii="Verdana" w:hAnsi="Verdana" w:cs="Arial"/>
          <w:b/>
          <w:highlight w:val="yellow"/>
        </w:rPr>
        <w:t>Nombre del abogado que proyecta la ficha (</w:t>
      </w:r>
      <w:r w:rsidRPr="009024DC">
        <w:rPr>
          <w:rFonts w:ascii="Verdana" w:hAnsi="Verdana" w:cs="Arial"/>
          <w:b/>
          <w:highlight w:val="yellow"/>
        </w:rPr>
        <w:t>XXXXX</w:t>
      </w:r>
      <w:r>
        <w:rPr>
          <w:rFonts w:ascii="Verdana" w:hAnsi="Verdana" w:cs="Arial"/>
          <w:b/>
        </w:rPr>
        <w:t>)</w:t>
      </w:r>
    </w:p>
    <w:p w14:paraId="5A1304B4" w14:textId="77777777" w:rsidR="000A360E" w:rsidRPr="00D86325" w:rsidRDefault="000A360E" w:rsidP="000A360E">
      <w:pPr>
        <w:spacing w:after="0" w:line="240" w:lineRule="auto"/>
        <w:jc w:val="center"/>
        <w:rPr>
          <w:rFonts w:ascii="Verdana" w:hAnsi="Verdana" w:cs="Arial"/>
          <w:b/>
          <w:i/>
          <w:color w:val="000000" w:themeColor="text1"/>
          <w:lang w:val="es-CO"/>
        </w:rPr>
      </w:pPr>
      <w:r w:rsidRPr="00D86325">
        <w:rPr>
          <w:rFonts w:ascii="Verdana" w:hAnsi="Verdana" w:cs="Arial"/>
          <w:b/>
          <w:i/>
          <w:color w:val="000000" w:themeColor="text1"/>
          <w:lang w:val="es-CO"/>
        </w:rPr>
        <w:t>Grupo de Representación Judicial</w:t>
      </w:r>
    </w:p>
    <w:p w14:paraId="26A84D60" w14:textId="6823D5D4" w:rsidR="000A360E" w:rsidRPr="00D86325" w:rsidRDefault="000A360E" w:rsidP="000A360E">
      <w:pPr>
        <w:spacing w:line="240" w:lineRule="auto"/>
        <w:jc w:val="center"/>
        <w:rPr>
          <w:rFonts w:ascii="Verdana" w:hAnsi="Verdana"/>
          <w:b/>
        </w:rPr>
      </w:pPr>
      <w:r w:rsidRPr="00D86325">
        <w:rPr>
          <w:rFonts w:ascii="Verdana" w:hAnsi="Verdana" w:cs="Arial"/>
          <w:b/>
          <w:i/>
          <w:color w:val="000000" w:themeColor="text1"/>
          <w:lang w:val="es-CO"/>
        </w:rPr>
        <w:t>Oficina Jurídica</w:t>
      </w:r>
    </w:p>
    <w:p w14:paraId="16BDC55B" w14:textId="77777777" w:rsidR="005411CB" w:rsidRPr="00D86325" w:rsidRDefault="005411CB" w:rsidP="00A35C22">
      <w:pPr>
        <w:spacing w:line="240" w:lineRule="auto"/>
        <w:rPr>
          <w:rFonts w:ascii="Verdana" w:hAnsi="Verdana" w:cs="Arial"/>
          <w:color w:val="000000" w:themeColor="text1"/>
        </w:rPr>
      </w:pPr>
    </w:p>
    <w:sectPr w:rsidR="005411CB" w:rsidRPr="00D86325" w:rsidSect="003550E6">
      <w:headerReference w:type="default" r:id="rId8"/>
      <w:footerReference w:type="default" r:id="rId9"/>
      <w:pgSz w:w="12240" w:h="20160" w:code="5"/>
      <w:pgMar w:top="1417" w:right="1701" w:bottom="1417" w:left="1701"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10A3" w14:textId="77777777" w:rsidR="00A41810" w:rsidRDefault="00A41810" w:rsidP="00DD51DD">
      <w:pPr>
        <w:spacing w:after="0" w:line="240" w:lineRule="auto"/>
      </w:pPr>
      <w:r>
        <w:separator/>
      </w:r>
    </w:p>
  </w:endnote>
  <w:endnote w:type="continuationSeparator" w:id="0">
    <w:p w14:paraId="622FEDA5" w14:textId="77777777" w:rsidR="00A41810" w:rsidRDefault="00A41810" w:rsidP="00DD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31A4" w14:textId="22521414" w:rsidR="000C48FF" w:rsidRDefault="000C48FF">
    <w:pPr>
      <w:pStyle w:val="Piedepgina"/>
    </w:pPr>
  </w:p>
  <w:p w14:paraId="24650FEF" w14:textId="79097378" w:rsidR="000C48FF" w:rsidRDefault="003550E6" w:rsidP="003550E6">
    <w:pPr>
      <w:pStyle w:val="Piedepgina"/>
      <w:ind w:left="-426"/>
    </w:pPr>
    <w:r w:rsidRPr="003550E6">
      <w:rPr>
        <w:noProof/>
      </w:rPr>
      <w:drawing>
        <wp:inline distT="0" distB="0" distL="0" distR="0" wp14:anchorId="7A9FB0E0" wp14:editId="14805FFA">
          <wp:extent cx="6315075" cy="998220"/>
          <wp:effectExtent l="0" t="0" r="9525" b="0"/>
          <wp:docPr id="903443415"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43415" name="Imagen 1" descr="Gráfico&#10;&#10;El contenido generado por IA puede ser incorrecto."/>
                  <pic:cNvPicPr/>
                </pic:nvPicPr>
                <pic:blipFill>
                  <a:blip r:embed="rId1"/>
                  <a:stretch>
                    <a:fillRect/>
                  </a:stretch>
                </pic:blipFill>
                <pic:spPr>
                  <a:xfrm>
                    <a:off x="0" y="0"/>
                    <a:ext cx="6315075" cy="9982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9AD4" w14:textId="77777777" w:rsidR="00A41810" w:rsidRDefault="00A41810" w:rsidP="00DD51DD">
      <w:pPr>
        <w:spacing w:after="0" w:line="240" w:lineRule="auto"/>
      </w:pPr>
      <w:r>
        <w:separator/>
      </w:r>
    </w:p>
  </w:footnote>
  <w:footnote w:type="continuationSeparator" w:id="0">
    <w:p w14:paraId="70C01AB6" w14:textId="77777777" w:rsidR="00A41810" w:rsidRDefault="00A41810" w:rsidP="00DD51DD">
      <w:pPr>
        <w:spacing w:after="0" w:line="240" w:lineRule="auto"/>
      </w:pPr>
      <w:r>
        <w:continuationSeparator/>
      </w:r>
    </w:p>
  </w:footnote>
  <w:footnote w:id="1">
    <w:p w14:paraId="25A944AA" w14:textId="77777777" w:rsidR="000D59A8" w:rsidRPr="00781E56" w:rsidRDefault="000D59A8" w:rsidP="000D59A8">
      <w:pPr>
        <w:spacing w:after="0" w:line="240" w:lineRule="auto"/>
        <w:jc w:val="both"/>
        <w:rPr>
          <w:rFonts w:ascii="Times New Roman" w:hAnsi="Times New Roman"/>
          <w:sz w:val="12"/>
          <w:szCs w:val="12"/>
          <w:lang w:val="es-CO"/>
        </w:rPr>
      </w:pPr>
      <w:r w:rsidRPr="00781E56">
        <w:rPr>
          <w:rStyle w:val="Refdenotaalpie"/>
          <w:rFonts w:ascii="Times New Roman" w:hAnsi="Times New Roman"/>
          <w:sz w:val="12"/>
          <w:szCs w:val="12"/>
        </w:rPr>
        <w:footnoteRef/>
      </w:r>
      <w:r w:rsidRPr="00781E56">
        <w:rPr>
          <w:rFonts w:ascii="Times New Roman" w:hAnsi="Times New Roman"/>
          <w:sz w:val="12"/>
          <w:szCs w:val="12"/>
        </w:rPr>
        <w:t xml:space="preserve"> </w:t>
      </w:r>
      <w:r w:rsidRPr="00781E56">
        <w:rPr>
          <w:rFonts w:ascii="Times New Roman" w:hAnsi="Times New Roman"/>
          <w:bCs/>
          <w:sz w:val="12"/>
          <w:szCs w:val="12"/>
        </w:rPr>
        <w:t xml:space="preserve">Sentencia C-091/97 Demanda de inconstitucionalidad del artículo 233 (parcial) de la ley 223 de 1995, “Por la cual se expiden normas sobre racionalización Tributaria y se dictan otras disposiciones” MP. Dr. Jorge Arango Mejía: </w:t>
      </w:r>
      <w:r w:rsidRPr="00781E56">
        <w:rPr>
          <w:rFonts w:ascii="Times New Roman" w:hAnsi="Times New Roman"/>
          <w:i/>
          <w:sz w:val="12"/>
          <w:szCs w:val="12"/>
          <w:lang w:val="es-ES_tradnl"/>
        </w:rPr>
        <w:t xml:space="preserve">“La Constitución, autoriza el cumplimiento de funciones administrativas por los particulares. Como la Constitución no distingue, hay que entender que "los particulares" pueden ser personas naturales o personas jurídicas. Los particulares cumplen funciones administrativas en las condiciones que señale la ley. La Constitución asigna al legislador la facultad de establecer cuándo los particulares pueden cumplir funciones administrativas </w:t>
      </w:r>
      <w:r w:rsidRPr="00781E56">
        <w:rPr>
          <w:rFonts w:ascii="Times New Roman" w:hAnsi="Times New Roman"/>
          <w:b/>
          <w:i/>
          <w:sz w:val="12"/>
          <w:szCs w:val="12"/>
          <w:lang w:val="es-ES_tradnl"/>
        </w:rPr>
        <w:t>y en qué condiciones</w:t>
      </w:r>
      <w:r w:rsidRPr="00781E56">
        <w:rPr>
          <w:rFonts w:ascii="Times New Roman" w:hAnsi="Times New Roman"/>
          <w:i/>
          <w:sz w:val="12"/>
          <w:szCs w:val="12"/>
          <w:lang w:val="es-ES_tradnl"/>
        </w:rPr>
        <w:t xml:space="preserve">.” </w:t>
      </w:r>
      <w:r w:rsidRPr="00781E56">
        <w:rPr>
          <w:rFonts w:ascii="Times New Roman" w:hAnsi="Times New Roman"/>
          <w:sz w:val="12"/>
          <w:szCs w:val="12"/>
          <w:lang w:val="es-ES_tradnl"/>
        </w:rPr>
        <w:t>Negrilla fuera de texto</w:t>
      </w:r>
    </w:p>
  </w:footnote>
  <w:footnote w:id="2">
    <w:p w14:paraId="69BBFE87" w14:textId="77777777" w:rsidR="000D59A8" w:rsidRPr="00781E56" w:rsidRDefault="000D59A8" w:rsidP="000D59A8">
      <w:pPr>
        <w:spacing w:after="0" w:line="240" w:lineRule="auto"/>
        <w:jc w:val="both"/>
        <w:rPr>
          <w:rFonts w:ascii="Times New Roman" w:hAnsi="Times New Roman"/>
          <w:sz w:val="12"/>
          <w:szCs w:val="12"/>
          <w:lang w:val="es-CO"/>
        </w:rPr>
      </w:pPr>
      <w:r w:rsidRPr="00781E56">
        <w:rPr>
          <w:rStyle w:val="Refdenotaalpie"/>
          <w:rFonts w:ascii="Times New Roman" w:hAnsi="Times New Roman"/>
          <w:sz w:val="12"/>
          <w:szCs w:val="12"/>
        </w:rPr>
        <w:footnoteRef/>
      </w:r>
      <w:r w:rsidRPr="00781E56">
        <w:rPr>
          <w:rFonts w:ascii="Times New Roman" w:hAnsi="Times New Roman"/>
          <w:sz w:val="12"/>
          <w:szCs w:val="12"/>
        </w:rPr>
        <w:t xml:space="preserve"> Sentencia C- 644/11 - Demanda de inconstitucionalidad contra los artículos 140 (parcial) y 144 (parcial) de la Ley 1437 de 2011, “Por la cual se expide el Código de Procedimiento Administrativo y de lo Contencioso Administrativo”. </w:t>
      </w:r>
      <w:r w:rsidRPr="00781E56">
        <w:rPr>
          <w:rFonts w:ascii="Times New Roman" w:hAnsi="Times New Roman"/>
          <w:bCs/>
          <w:sz w:val="12"/>
          <w:szCs w:val="12"/>
        </w:rPr>
        <w:t xml:space="preserve">M.P. </w:t>
      </w:r>
      <w:r w:rsidRPr="00781E56">
        <w:rPr>
          <w:rFonts w:ascii="Times New Roman" w:hAnsi="Times New Roman"/>
          <w:sz w:val="12"/>
          <w:szCs w:val="12"/>
        </w:rPr>
        <w:t>Jorge Iván Palacio Palacio</w:t>
      </w:r>
    </w:p>
  </w:footnote>
  <w:footnote w:id="3">
    <w:p w14:paraId="6C2079E6" w14:textId="77777777" w:rsidR="000D59A8" w:rsidRPr="00781E56" w:rsidRDefault="000D59A8" w:rsidP="000D59A8">
      <w:pPr>
        <w:pStyle w:val="Textonotapie"/>
        <w:jc w:val="both"/>
        <w:rPr>
          <w:bCs/>
          <w:sz w:val="12"/>
          <w:szCs w:val="12"/>
        </w:rPr>
      </w:pPr>
      <w:r w:rsidRPr="00781E56">
        <w:rPr>
          <w:rStyle w:val="Refdenotaalpie"/>
          <w:rFonts w:eastAsia="Calibri"/>
          <w:sz w:val="12"/>
          <w:szCs w:val="12"/>
        </w:rPr>
        <w:footnoteRef/>
      </w:r>
      <w:r w:rsidRPr="00781E56">
        <w:rPr>
          <w:sz w:val="12"/>
          <w:szCs w:val="12"/>
        </w:rPr>
        <w:t xml:space="preserve"> </w:t>
      </w:r>
      <w:r w:rsidRPr="00781E56">
        <w:rPr>
          <w:bCs/>
          <w:sz w:val="12"/>
          <w:szCs w:val="12"/>
        </w:rPr>
        <w:t>C-286/96, M.P. José Gregorio Hernández Galindo</w:t>
      </w:r>
    </w:p>
  </w:footnote>
  <w:footnote w:id="4">
    <w:p w14:paraId="34F16C3C" w14:textId="77777777" w:rsidR="000D59A8" w:rsidRPr="00781E56" w:rsidRDefault="000D59A8" w:rsidP="000D59A8">
      <w:pPr>
        <w:spacing w:after="0" w:line="240" w:lineRule="auto"/>
        <w:jc w:val="both"/>
        <w:rPr>
          <w:rFonts w:ascii="Times New Roman" w:hAnsi="Times New Roman"/>
          <w:sz w:val="12"/>
          <w:szCs w:val="12"/>
          <w:lang w:val="es-CO"/>
        </w:rPr>
      </w:pPr>
      <w:r w:rsidRPr="00781E56">
        <w:rPr>
          <w:rStyle w:val="Refdenotaalpie"/>
          <w:rFonts w:ascii="Times New Roman" w:hAnsi="Times New Roman"/>
          <w:sz w:val="12"/>
          <w:szCs w:val="12"/>
        </w:rPr>
        <w:footnoteRef/>
      </w:r>
      <w:r w:rsidRPr="00781E56">
        <w:rPr>
          <w:rFonts w:ascii="Times New Roman" w:hAnsi="Times New Roman"/>
          <w:sz w:val="12"/>
          <w:szCs w:val="12"/>
        </w:rPr>
        <w:t xml:space="preserve"> </w:t>
      </w:r>
      <w:r w:rsidRPr="00781E56">
        <w:rPr>
          <w:rFonts w:ascii="Times New Roman" w:hAnsi="Times New Roman"/>
          <w:bCs/>
          <w:sz w:val="12"/>
          <w:szCs w:val="12"/>
        </w:rPr>
        <w:t xml:space="preserve">Sentencia C-091/97 </w:t>
      </w:r>
    </w:p>
  </w:footnote>
  <w:footnote w:id="5">
    <w:p w14:paraId="3957752D" w14:textId="77777777" w:rsidR="00351EEE" w:rsidRPr="00271219" w:rsidRDefault="00351EEE" w:rsidP="00351EEE">
      <w:pPr>
        <w:pStyle w:val="Textonotapie"/>
        <w:jc w:val="both"/>
        <w:rPr>
          <w:rFonts w:ascii="Arial Narrow" w:hAnsi="Arial Narrow"/>
          <w:sz w:val="16"/>
          <w:szCs w:val="16"/>
        </w:rPr>
      </w:pPr>
      <w:r w:rsidRPr="00271219">
        <w:rPr>
          <w:rStyle w:val="Refdenotaalpie"/>
          <w:rFonts w:ascii="Arial Narrow" w:hAnsi="Arial Narrow"/>
          <w:sz w:val="16"/>
          <w:szCs w:val="16"/>
        </w:rPr>
        <w:footnoteRef/>
      </w:r>
      <w:r w:rsidRPr="00271219">
        <w:rPr>
          <w:rFonts w:ascii="Arial Narrow" w:hAnsi="Arial Narrow"/>
          <w:sz w:val="16"/>
          <w:szCs w:val="16"/>
        </w:rPr>
        <w:t xml:space="preserve"> Magistrado ponente Dr. Rodrigo Escobar Gil.</w:t>
      </w:r>
    </w:p>
  </w:footnote>
  <w:footnote w:id="6">
    <w:p w14:paraId="6B371058" w14:textId="77777777" w:rsidR="00351EEE" w:rsidRPr="00271219" w:rsidRDefault="00351EEE" w:rsidP="00351EEE">
      <w:pPr>
        <w:pStyle w:val="Textonotapie"/>
        <w:jc w:val="both"/>
        <w:rPr>
          <w:rFonts w:ascii="Arial Narrow" w:hAnsi="Arial Narrow"/>
          <w:sz w:val="16"/>
          <w:szCs w:val="16"/>
          <w:lang w:val="es-CO"/>
        </w:rPr>
      </w:pPr>
      <w:r w:rsidRPr="00271219">
        <w:rPr>
          <w:rStyle w:val="Refdenotaalpie"/>
          <w:rFonts w:ascii="Arial Narrow" w:hAnsi="Arial Narrow"/>
          <w:sz w:val="16"/>
          <w:szCs w:val="16"/>
        </w:rPr>
        <w:footnoteRef/>
      </w:r>
      <w:r w:rsidRPr="00271219">
        <w:rPr>
          <w:rFonts w:ascii="Arial Narrow" w:hAnsi="Arial Narrow"/>
          <w:sz w:val="16"/>
          <w:szCs w:val="16"/>
          <w:lang w:val="es-CO"/>
        </w:rPr>
        <w:t xml:space="preserve">Ver sentencia </w:t>
      </w:r>
      <w:r w:rsidRPr="00271219">
        <w:rPr>
          <w:rFonts w:ascii="Arial Narrow" w:hAnsi="Arial Narrow"/>
          <w:sz w:val="16"/>
          <w:szCs w:val="16"/>
        </w:rPr>
        <w:t xml:space="preserve">sentencia SL8603-2015, </w:t>
      </w:r>
      <w:r w:rsidRPr="00271219">
        <w:rPr>
          <w:rFonts w:ascii="Arial Narrow" w:hAnsi="Arial Narrow"/>
          <w:sz w:val="16"/>
          <w:szCs w:val="16"/>
          <w:lang w:val="es-CO"/>
        </w:rPr>
        <w:t xml:space="preserve">Magistrado Ponente Rigoberto Echeverri Bueno, radicación No. 50550, acta 21 del 01 de julio de 2015. </w:t>
      </w:r>
    </w:p>
    <w:p w14:paraId="3A7AE75F" w14:textId="77777777" w:rsidR="00351EEE" w:rsidRPr="00271219" w:rsidRDefault="00351EEE" w:rsidP="00351EEE">
      <w:pPr>
        <w:pStyle w:val="Textonotapie"/>
        <w:jc w:val="both"/>
        <w:rPr>
          <w:rFonts w:ascii="Arial Narrow" w:hAnsi="Arial Narrow"/>
          <w:sz w:val="16"/>
          <w:szCs w:val="16"/>
          <w:lang w:val="es-CO"/>
        </w:rPr>
      </w:pPr>
    </w:p>
  </w:footnote>
  <w:footnote w:id="7">
    <w:p w14:paraId="54030A98" w14:textId="77777777" w:rsidR="00351EEE" w:rsidRPr="00351EEE" w:rsidRDefault="00351EEE" w:rsidP="00351EEE">
      <w:pPr>
        <w:pStyle w:val="Textonotapie"/>
        <w:jc w:val="both"/>
        <w:rPr>
          <w:rFonts w:ascii="Verdana" w:hAnsi="Verdana" w:cs="Arial"/>
          <w:sz w:val="16"/>
          <w:szCs w:val="16"/>
        </w:rPr>
      </w:pPr>
      <w:r w:rsidRPr="00351EEE">
        <w:rPr>
          <w:rStyle w:val="Refdenotaalpie"/>
          <w:rFonts w:ascii="Verdana" w:hAnsi="Verdana" w:cs="Arial"/>
          <w:sz w:val="16"/>
          <w:szCs w:val="16"/>
        </w:rPr>
        <w:footnoteRef/>
      </w:r>
      <w:r w:rsidRPr="00351EEE">
        <w:rPr>
          <w:rFonts w:ascii="Verdana" w:hAnsi="Verdana" w:cs="Arial"/>
          <w:sz w:val="16"/>
          <w:szCs w:val="16"/>
        </w:rPr>
        <w:t xml:space="preserve"> </w:t>
      </w:r>
      <w:r w:rsidRPr="00351EEE">
        <w:rPr>
          <w:rFonts w:ascii="Verdana" w:hAnsi="Verdana" w:cs="Arial"/>
          <w:sz w:val="16"/>
          <w:szCs w:val="16"/>
          <w:bdr w:val="none" w:sz="0" w:space="0" w:color="auto" w:frame="1"/>
          <w:lang w:val="es-CO" w:eastAsia="es-CO"/>
        </w:rPr>
        <w:t>Radicación No. 54744. SL4430-2018. M.P. Jorge Mauricio Burgos Ruiz.</w:t>
      </w:r>
    </w:p>
  </w:footnote>
  <w:footnote w:id="8">
    <w:p w14:paraId="13BA44DC" w14:textId="77777777" w:rsidR="00351EEE" w:rsidRPr="00351EEE" w:rsidRDefault="00351EEE" w:rsidP="00351EEE">
      <w:pPr>
        <w:pStyle w:val="Textonotapie"/>
        <w:jc w:val="both"/>
        <w:rPr>
          <w:rFonts w:ascii="Verdana" w:hAnsi="Verdana" w:cs="Arial"/>
          <w:sz w:val="16"/>
          <w:szCs w:val="16"/>
        </w:rPr>
      </w:pPr>
      <w:r w:rsidRPr="00351EEE">
        <w:rPr>
          <w:rStyle w:val="Refdenotaalpie"/>
          <w:rFonts w:ascii="Verdana" w:hAnsi="Verdana" w:cs="Arial"/>
          <w:sz w:val="16"/>
          <w:szCs w:val="16"/>
        </w:rPr>
        <w:footnoteRef/>
      </w:r>
      <w:r w:rsidRPr="00351EEE">
        <w:rPr>
          <w:rFonts w:ascii="Verdana" w:hAnsi="Verdana" w:cs="Arial"/>
          <w:sz w:val="16"/>
          <w:szCs w:val="16"/>
        </w:rPr>
        <w:t xml:space="preserve"> Fallo del 25 de septiembre de 2009, proferido por el Juzgado 2 Laboral de Descongestión del Circuito de Santa Marta. </w:t>
      </w:r>
    </w:p>
  </w:footnote>
  <w:footnote w:id="9">
    <w:p w14:paraId="6BF06504" w14:textId="77777777" w:rsidR="00351EEE" w:rsidRPr="005D3861" w:rsidRDefault="00351EEE" w:rsidP="00351EEE">
      <w:pPr>
        <w:pStyle w:val="Textonotapie"/>
        <w:jc w:val="both"/>
        <w:rPr>
          <w:rFonts w:ascii="Century Gothic" w:hAnsi="Century Gothic"/>
          <w:sz w:val="18"/>
          <w:szCs w:val="18"/>
        </w:rPr>
      </w:pPr>
      <w:r w:rsidRPr="00351EEE">
        <w:rPr>
          <w:rStyle w:val="Refdenotaalpie"/>
          <w:rFonts w:ascii="Verdana" w:hAnsi="Verdana" w:cs="Arial"/>
          <w:sz w:val="16"/>
          <w:szCs w:val="16"/>
        </w:rPr>
        <w:footnoteRef/>
      </w:r>
      <w:r w:rsidRPr="00351EEE">
        <w:rPr>
          <w:rFonts w:ascii="Verdana" w:hAnsi="Verdana" w:cs="Arial"/>
          <w:sz w:val="16"/>
          <w:szCs w:val="16"/>
        </w:rPr>
        <w:t xml:space="preserve"> En sentencia del 23 de mayo de 2011, proferida por la Sala Laboral del Tribunal Superior de Santa Marta.</w:t>
      </w:r>
      <w:r w:rsidRPr="005D3861">
        <w:rPr>
          <w:rFonts w:ascii="Century Gothic" w:hAnsi="Century Gothic"/>
          <w:sz w:val="18"/>
          <w:szCs w:val="18"/>
        </w:rPr>
        <w:t xml:space="preserve"> </w:t>
      </w:r>
    </w:p>
  </w:footnote>
  <w:footnote w:id="10">
    <w:p w14:paraId="5227CBA4" w14:textId="77777777" w:rsidR="00941A67" w:rsidRPr="00B0288E" w:rsidRDefault="00941A67" w:rsidP="00941A67">
      <w:pPr>
        <w:pStyle w:val="Textonotapie"/>
        <w:jc w:val="both"/>
        <w:rPr>
          <w:rFonts w:ascii="Arial" w:hAnsi="Arial" w:cs="Arial"/>
          <w:sz w:val="18"/>
          <w:szCs w:val="18"/>
        </w:rPr>
      </w:pPr>
      <w:r w:rsidRPr="00B0288E">
        <w:rPr>
          <w:rStyle w:val="Refdenotaalpie"/>
          <w:rFonts w:ascii="Arial" w:hAnsi="Arial" w:cs="Arial"/>
        </w:rPr>
        <w:footnoteRef/>
      </w:r>
      <w:r w:rsidRPr="00B0288E">
        <w:rPr>
          <w:rFonts w:ascii="Arial" w:hAnsi="Arial" w:cs="Arial"/>
          <w:sz w:val="18"/>
          <w:szCs w:val="18"/>
        </w:rPr>
        <w:t xml:space="preserve"> STL 16160-2019. Radicación No. 57852. M.P. Fernando Castillo Cadena.</w:t>
      </w:r>
    </w:p>
  </w:footnote>
  <w:footnote w:id="11">
    <w:p w14:paraId="5BBC34F5" w14:textId="77777777" w:rsidR="00941A67" w:rsidRPr="00B0288E" w:rsidRDefault="00941A67" w:rsidP="00941A67">
      <w:pPr>
        <w:pStyle w:val="Textonotapie"/>
        <w:jc w:val="both"/>
        <w:rPr>
          <w:rFonts w:ascii="Arial" w:hAnsi="Arial" w:cs="Arial"/>
          <w:sz w:val="18"/>
          <w:szCs w:val="18"/>
        </w:rPr>
      </w:pPr>
      <w:r w:rsidRPr="00B0288E">
        <w:rPr>
          <w:rStyle w:val="Refdenotaalpie"/>
          <w:rFonts w:ascii="Arial" w:hAnsi="Arial" w:cs="Arial"/>
        </w:rPr>
        <w:footnoteRef/>
      </w:r>
      <w:r w:rsidRPr="00B0288E">
        <w:rPr>
          <w:rFonts w:ascii="Arial" w:hAnsi="Arial" w:cs="Arial"/>
          <w:sz w:val="18"/>
          <w:szCs w:val="18"/>
        </w:rPr>
        <w:t xml:space="preserve"> STL 6804-2020. Radicación No. 91305. M.P. Ivan Mauricio Lenis Gómez.</w:t>
      </w:r>
    </w:p>
  </w:footnote>
  <w:footnote w:id="12">
    <w:p w14:paraId="5E4887CC" w14:textId="77777777" w:rsidR="00941A67" w:rsidRPr="005D3861" w:rsidRDefault="00941A67" w:rsidP="00941A67">
      <w:pPr>
        <w:pStyle w:val="Textonotapie"/>
        <w:jc w:val="both"/>
        <w:rPr>
          <w:rFonts w:ascii="Century Gothic" w:hAnsi="Century Gothic" w:cs="Arial"/>
          <w:sz w:val="18"/>
          <w:szCs w:val="18"/>
        </w:rPr>
      </w:pPr>
      <w:r w:rsidRPr="00B0288E">
        <w:rPr>
          <w:rStyle w:val="Refdenotaalpie"/>
          <w:rFonts w:ascii="Arial" w:hAnsi="Arial" w:cs="Arial"/>
        </w:rPr>
        <w:footnoteRef/>
      </w:r>
      <w:r w:rsidRPr="00B0288E">
        <w:rPr>
          <w:rFonts w:ascii="Arial" w:hAnsi="Arial" w:cs="Arial"/>
          <w:sz w:val="18"/>
          <w:szCs w:val="18"/>
        </w:rPr>
        <w:t xml:space="preserve"> STP 5592-2021. Radicación No. 116151. M.P. Gerson Chaverra Castro.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E52E" w14:textId="06CF6763" w:rsidR="00200D9C" w:rsidRDefault="007F337F">
    <w:pPr>
      <w:pStyle w:val="Encabezado"/>
    </w:pPr>
    <w:r>
      <w:rPr>
        <w:noProof/>
      </w:rPr>
      <w:drawing>
        <wp:anchor distT="0" distB="0" distL="114300" distR="114300" simplePos="0" relativeHeight="251661312" behindDoc="1" locked="0" layoutInCell="1" allowOverlap="1" wp14:anchorId="2075C084" wp14:editId="011A0A3E">
          <wp:simplePos x="0" y="0"/>
          <wp:positionH relativeFrom="margin">
            <wp:posOffset>-716280</wp:posOffset>
          </wp:positionH>
          <wp:positionV relativeFrom="paragraph">
            <wp:posOffset>109220</wp:posOffset>
          </wp:positionV>
          <wp:extent cx="6969760" cy="1226820"/>
          <wp:effectExtent l="0" t="0" r="2540" b="0"/>
          <wp:wrapNone/>
          <wp:docPr id="14" name="Imagen 14" descr="Sin título-2_Mesa de trabajo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Sin título-2_Mesa de trabajo 1 copi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9760" cy="1226820"/>
                  </a:xfrm>
                  <a:prstGeom prst="rect">
                    <a:avLst/>
                  </a:prstGeom>
                  <a:noFill/>
                </pic:spPr>
              </pic:pic>
            </a:graphicData>
          </a:graphic>
          <wp14:sizeRelH relativeFrom="page">
            <wp14:pctWidth>0</wp14:pctWidth>
          </wp14:sizeRelH>
          <wp14:sizeRelV relativeFrom="page">
            <wp14:pctHeight>0</wp14:pctHeight>
          </wp14:sizeRelV>
        </wp:anchor>
      </w:drawing>
    </w:r>
    <w:sdt>
      <w:sdtPr>
        <w:id w:val="2035845679"/>
        <w:docPartObj>
          <w:docPartGallery w:val="Page Numbers (Margins)"/>
          <w:docPartUnique/>
        </w:docPartObj>
      </w:sdtPr>
      <w:sdtEndPr/>
      <w:sdtContent>
        <w:r w:rsidR="00D060F0">
          <w:rPr>
            <w:noProof/>
          </w:rPr>
          <mc:AlternateContent>
            <mc:Choice Requires="wps">
              <w:drawing>
                <wp:anchor distT="0" distB="0" distL="114300" distR="114300" simplePos="0" relativeHeight="251659264" behindDoc="0" locked="0" layoutInCell="0" allowOverlap="1" wp14:anchorId="775962A7" wp14:editId="7CA367E0">
                  <wp:simplePos x="0" y="0"/>
                  <wp:positionH relativeFrom="rightMargin">
                    <wp:align>center</wp:align>
                  </wp:positionH>
                  <wp:positionV relativeFrom="margin">
                    <wp:align>bottom</wp:align>
                  </wp:positionV>
                  <wp:extent cx="510540" cy="2183130"/>
                  <wp:effectExtent l="0" t="0" r="3810" b="0"/>
                  <wp:wrapNone/>
                  <wp:docPr id="40841336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A93C2" w14:textId="77777777" w:rsidR="00D060F0" w:rsidRDefault="00D060F0">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5962A7" id="Rectángulo 6"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B2A93C2" w14:textId="77777777" w:rsidR="00D060F0" w:rsidRDefault="00D060F0">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F073A">
      <w:t xml:space="preserve"> </w:t>
    </w:r>
  </w:p>
  <w:p w14:paraId="2F4A57DB" w14:textId="77777777" w:rsidR="007F337F" w:rsidRDefault="007F337F" w:rsidP="007F337F">
    <w:pPr>
      <w:pStyle w:val="Encabezado"/>
      <w:tabs>
        <w:tab w:val="clear" w:pos="4419"/>
        <w:tab w:val="clear" w:pos="8838"/>
        <w:tab w:val="left" w:pos="1200"/>
      </w:tabs>
    </w:pPr>
  </w:p>
  <w:p w14:paraId="00345ABE" w14:textId="30E3D40A" w:rsidR="007F337F" w:rsidRPr="007F337F" w:rsidRDefault="007F337F" w:rsidP="007F337F">
    <w:pPr>
      <w:pStyle w:val="Encabezado"/>
      <w:tabs>
        <w:tab w:val="clear" w:pos="4419"/>
        <w:tab w:val="clear" w:pos="8838"/>
        <w:tab w:val="left" w:pos="1200"/>
      </w:tabs>
    </w:pPr>
    <w:r w:rsidRPr="007C12AE">
      <w:rPr>
        <w:rFonts w:ascii="Verdana" w:hAnsi="Verdana" w:cs="Arial"/>
        <w:b/>
        <w:szCs w:val="24"/>
      </w:rPr>
      <w:t>Instituto Colombiano de Bienestar Familiar</w:t>
    </w:r>
  </w:p>
  <w:p w14:paraId="7389E59D" w14:textId="77777777" w:rsidR="007F337F" w:rsidRPr="007C12AE" w:rsidRDefault="007F337F" w:rsidP="007F337F">
    <w:pPr>
      <w:autoSpaceDE w:val="0"/>
      <w:autoSpaceDN w:val="0"/>
      <w:adjustRightInd w:val="0"/>
      <w:spacing w:after="0" w:line="240" w:lineRule="auto"/>
      <w:rPr>
        <w:rFonts w:ascii="Verdana" w:hAnsi="Verdana" w:cs="Arial"/>
        <w:color w:val="808080"/>
        <w:szCs w:val="24"/>
      </w:rPr>
    </w:pPr>
    <w:r w:rsidRPr="007C12AE">
      <w:rPr>
        <w:rFonts w:ascii="Verdana" w:hAnsi="Verdana" w:cs="Arial"/>
        <w:color w:val="808080"/>
        <w:szCs w:val="24"/>
      </w:rPr>
      <w:t>Cecilia De la Fuente de Lleras</w:t>
    </w:r>
  </w:p>
  <w:p w14:paraId="0C3AB9E4" w14:textId="77777777" w:rsidR="007F337F" w:rsidRPr="007C12AE" w:rsidRDefault="007F337F" w:rsidP="007F337F">
    <w:pPr>
      <w:spacing w:after="0" w:line="240" w:lineRule="auto"/>
      <w:rPr>
        <w:rFonts w:ascii="Verdana" w:hAnsi="Verdana" w:cs="Arial"/>
        <w:b/>
        <w:color w:val="000000"/>
        <w:szCs w:val="24"/>
      </w:rPr>
    </w:pPr>
    <w:r>
      <w:rPr>
        <w:rFonts w:ascii="Verdana" w:hAnsi="Verdana" w:cs="Arial"/>
        <w:b/>
        <w:color w:val="000000"/>
        <w:szCs w:val="24"/>
      </w:rPr>
      <w:t>Oficina Jurídica</w:t>
    </w:r>
  </w:p>
  <w:p w14:paraId="43FA1973" w14:textId="77777777" w:rsidR="007F337F" w:rsidRPr="007C12AE" w:rsidRDefault="007F337F" w:rsidP="007F337F">
    <w:pPr>
      <w:spacing w:after="0" w:line="240" w:lineRule="auto"/>
      <w:rPr>
        <w:rFonts w:ascii="Verdana" w:hAnsi="Verdana" w:cs="Arial"/>
        <w:b/>
        <w:color w:val="000000"/>
        <w:szCs w:val="24"/>
      </w:rPr>
    </w:pPr>
    <w:r>
      <w:rPr>
        <w:rFonts w:ascii="Verdana" w:hAnsi="Verdana" w:cs="Arial"/>
        <w:b/>
        <w:color w:val="000000"/>
        <w:szCs w:val="24"/>
      </w:rPr>
      <w:t>Sede de la Dirección General</w:t>
    </w:r>
  </w:p>
  <w:p w14:paraId="6CAF1E67" w14:textId="77777777" w:rsidR="007F337F" w:rsidRDefault="007F337F" w:rsidP="007F337F">
    <w:pPr>
      <w:spacing w:after="0" w:line="240" w:lineRule="auto"/>
      <w:rPr>
        <w:rFonts w:ascii="Verdana" w:hAnsi="Verdana" w:cs="Arial"/>
        <w:b/>
        <w:color w:val="000000"/>
        <w:szCs w:val="24"/>
      </w:rPr>
    </w:pPr>
    <w:r>
      <w:rPr>
        <w:rFonts w:ascii="Verdana" w:hAnsi="Verdana" w:cs="Arial"/>
        <w:b/>
        <w:color w:val="000000"/>
        <w:szCs w:val="24"/>
      </w:rPr>
      <w:t>PÚBLICA</w:t>
    </w:r>
  </w:p>
  <w:p w14:paraId="5D4F7421" w14:textId="77777777" w:rsidR="007F337F" w:rsidRDefault="007F337F">
    <w:pPr>
      <w:pStyle w:val="Encabezado"/>
    </w:pPr>
  </w:p>
  <w:p w14:paraId="19F53F2E" w14:textId="77777777" w:rsidR="007F337F" w:rsidRDefault="007F33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40C"/>
    <w:multiLevelType w:val="hybridMultilevel"/>
    <w:tmpl w:val="4CFCC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A4486E"/>
    <w:multiLevelType w:val="hybridMultilevel"/>
    <w:tmpl w:val="DB56279E"/>
    <w:lvl w:ilvl="0" w:tplc="240A000F">
      <w:start w:val="1"/>
      <w:numFmt w:val="decimal"/>
      <w:lvlText w:val="%1."/>
      <w:lvlJc w:val="left"/>
      <w:pPr>
        <w:ind w:left="720" w:hanging="360"/>
      </w:pPr>
      <w:rPr>
        <w:rFonts w:hint="default"/>
      </w:rPr>
    </w:lvl>
    <w:lvl w:ilvl="1" w:tplc="240A0001">
      <w:start w:val="1"/>
      <w:numFmt w:val="bullet"/>
      <w:lvlText w:val=""/>
      <w:lvlJc w:val="left"/>
      <w:pPr>
        <w:ind w:left="10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9974FF"/>
    <w:multiLevelType w:val="hybridMultilevel"/>
    <w:tmpl w:val="5A5C14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BD73F8"/>
    <w:multiLevelType w:val="hybridMultilevel"/>
    <w:tmpl w:val="EEF01C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6828DC"/>
    <w:multiLevelType w:val="multilevel"/>
    <w:tmpl w:val="7F149E94"/>
    <w:lvl w:ilvl="0">
      <w:start w:val="1"/>
      <w:numFmt w:val="decimal"/>
      <w:lvlText w:val="%1."/>
      <w:lvlJc w:val="left"/>
      <w:pPr>
        <w:ind w:left="720" w:hanging="360"/>
      </w:pPr>
      <w:rPr>
        <w:rFonts w:hint="default"/>
        <w:b/>
      </w:rPr>
    </w:lvl>
    <w:lvl w:ilvl="1">
      <w:start w:val="1"/>
      <w:numFmt w:val="decimal"/>
      <w:isLgl/>
      <w:suff w:val="nothing"/>
      <w:lvlText w:val="%1.%2."/>
      <w:lvlJc w:val="left"/>
      <w:pPr>
        <w:ind w:left="113" w:firstLine="0"/>
      </w:pPr>
      <w:rPr>
        <w:rFonts w:hint="default"/>
        <w:b/>
        <w:bCs/>
        <w:sz w:val="22"/>
        <w:szCs w:val="22"/>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963FA9"/>
    <w:multiLevelType w:val="hybridMultilevel"/>
    <w:tmpl w:val="F6CC87D2"/>
    <w:lvl w:ilvl="0" w:tplc="178CB4FC">
      <w:numFmt w:val="bullet"/>
      <w:lvlText w:val="•"/>
      <w:lvlJc w:val="left"/>
      <w:pPr>
        <w:ind w:left="1079" w:hanging="346"/>
      </w:pPr>
      <w:rPr>
        <w:rFonts w:ascii="Arial MT" w:eastAsia="Arial MT" w:hAnsi="Arial MT" w:cs="Arial MT" w:hint="default"/>
        <w:b w:val="0"/>
        <w:bCs w:val="0"/>
        <w:i w:val="0"/>
        <w:iCs w:val="0"/>
        <w:spacing w:val="0"/>
        <w:w w:val="100"/>
        <w:sz w:val="24"/>
        <w:szCs w:val="24"/>
        <w:lang w:val="es-ES" w:eastAsia="en-US" w:bidi="ar-SA"/>
      </w:rPr>
    </w:lvl>
    <w:lvl w:ilvl="1" w:tplc="D04A2670">
      <w:numFmt w:val="bullet"/>
      <w:lvlText w:val="•"/>
      <w:lvlJc w:val="left"/>
      <w:pPr>
        <w:ind w:left="1962" w:hanging="346"/>
      </w:pPr>
      <w:rPr>
        <w:rFonts w:hint="default"/>
        <w:lang w:val="es-ES" w:eastAsia="en-US" w:bidi="ar-SA"/>
      </w:rPr>
    </w:lvl>
    <w:lvl w:ilvl="2" w:tplc="1610E90A">
      <w:numFmt w:val="bullet"/>
      <w:lvlText w:val="•"/>
      <w:lvlJc w:val="left"/>
      <w:pPr>
        <w:ind w:left="2844" w:hanging="346"/>
      </w:pPr>
      <w:rPr>
        <w:rFonts w:hint="default"/>
        <w:lang w:val="es-ES" w:eastAsia="en-US" w:bidi="ar-SA"/>
      </w:rPr>
    </w:lvl>
    <w:lvl w:ilvl="3" w:tplc="DEE47120">
      <w:numFmt w:val="bullet"/>
      <w:lvlText w:val="•"/>
      <w:lvlJc w:val="left"/>
      <w:pPr>
        <w:ind w:left="3726" w:hanging="346"/>
      </w:pPr>
      <w:rPr>
        <w:rFonts w:hint="default"/>
        <w:lang w:val="es-ES" w:eastAsia="en-US" w:bidi="ar-SA"/>
      </w:rPr>
    </w:lvl>
    <w:lvl w:ilvl="4" w:tplc="5E50889C">
      <w:numFmt w:val="bullet"/>
      <w:lvlText w:val="•"/>
      <w:lvlJc w:val="left"/>
      <w:pPr>
        <w:ind w:left="4608" w:hanging="346"/>
      </w:pPr>
      <w:rPr>
        <w:rFonts w:hint="default"/>
        <w:lang w:val="es-ES" w:eastAsia="en-US" w:bidi="ar-SA"/>
      </w:rPr>
    </w:lvl>
    <w:lvl w:ilvl="5" w:tplc="2B5CEC68">
      <w:numFmt w:val="bullet"/>
      <w:lvlText w:val="•"/>
      <w:lvlJc w:val="left"/>
      <w:pPr>
        <w:ind w:left="5490" w:hanging="346"/>
      </w:pPr>
      <w:rPr>
        <w:rFonts w:hint="default"/>
        <w:lang w:val="es-ES" w:eastAsia="en-US" w:bidi="ar-SA"/>
      </w:rPr>
    </w:lvl>
    <w:lvl w:ilvl="6" w:tplc="DCB0EC1C">
      <w:numFmt w:val="bullet"/>
      <w:lvlText w:val="•"/>
      <w:lvlJc w:val="left"/>
      <w:pPr>
        <w:ind w:left="6372" w:hanging="346"/>
      </w:pPr>
      <w:rPr>
        <w:rFonts w:hint="default"/>
        <w:lang w:val="es-ES" w:eastAsia="en-US" w:bidi="ar-SA"/>
      </w:rPr>
    </w:lvl>
    <w:lvl w:ilvl="7" w:tplc="AE300AA6">
      <w:numFmt w:val="bullet"/>
      <w:lvlText w:val="•"/>
      <w:lvlJc w:val="left"/>
      <w:pPr>
        <w:ind w:left="7254" w:hanging="346"/>
      </w:pPr>
      <w:rPr>
        <w:rFonts w:hint="default"/>
        <w:lang w:val="es-ES" w:eastAsia="en-US" w:bidi="ar-SA"/>
      </w:rPr>
    </w:lvl>
    <w:lvl w:ilvl="8" w:tplc="D81C4B9A">
      <w:numFmt w:val="bullet"/>
      <w:lvlText w:val="•"/>
      <w:lvlJc w:val="left"/>
      <w:pPr>
        <w:ind w:left="8136" w:hanging="346"/>
      </w:pPr>
      <w:rPr>
        <w:rFonts w:hint="default"/>
        <w:lang w:val="es-ES" w:eastAsia="en-US" w:bidi="ar-SA"/>
      </w:rPr>
    </w:lvl>
  </w:abstractNum>
  <w:abstractNum w:abstractNumId="6" w15:restartNumberingAfterBreak="0">
    <w:nsid w:val="22A54BE7"/>
    <w:multiLevelType w:val="hybridMultilevel"/>
    <w:tmpl w:val="32C05C50"/>
    <w:lvl w:ilvl="0" w:tplc="F7A63EA2">
      <w:start w:val="1"/>
      <w:numFmt w:val="decimal"/>
      <w:lvlText w:val="%1."/>
      <w:lvlJc w:val="left"/>
      <w:pPr>
        <w:ind w:left="708" w:hanging="567"/>
      </w:pPr>
      <w:rPr>
        <w:rFonts w:hint="default"/>
        <w:b w:val="0"/>
        <w:bCs w:val="0"/>
        <w:i w:val="0"/>
        <w:iCs w:val="0"/>
        <w:spacing w:val="0"/>
        <w:w w:val="100"/>
        <w:sz w:val="20"/>
        <w:szCs w:val="20"/>
        <w:lang w:val="es-ES" w:eastAsia="en-US" w:bidi="ar-SA"/>
      </w:rPr>
    </w:lvl>
    <w:lvl w:ilvl="1" w:tplc="5C6C39B8">
      <w:numFmt w:val="bullet"/>
      <w:lvlText w:val="•"/>
      <w:lvlJc w:val="left"/>
      <w:pPr>
        <w:ind w:left="1634" w:hanging="567"/>
      </w:pPr>
      <w:rPr>
        <w:rFonts w:hint="default"/>
        <w:lang w:val="es-ES" w:eastAsia="en-US" w:bidi="ar-SA"/>
      </w:rPr>
    </w:lvl>
    <w:lvl w:ilvl="2" w:tplc="DB6AE9B6">
      <w:numFmt w:val="bullet"/>
      <w:lvlText w:val="•"/>
      <w:lvlJc w:val="left"/>
      <w:pPr>
        <w:ind w:left="2568" w:hanging="567"/>
      </w:pPr>
      <w:rPr>
        <w:rFonts w:hint="default"/>
        <w:lang w:val="es-ES" w:eastAsia="en-US" w:bidi="ar-SA"/>
      </w:rPr>
    </w:lvl>
    <w:lvl w:ilvl="3" w:tplc="ACACC1D8">
      <w:numFmt w:val="bullet"/>
      <w:lvlText w:val="•"/>
      <w:lvlJc w:val="left"/>
      <w:pPr>
        <w:ind w:left="3502" w:hanging="567"/>
      </w:pPr>
      <w:rPr>
        <w:rFonts w:hint="default"/>
        <w:lang w:val="es-ES" w:eastAsia="en-US" w:bidi="ar-SA"/>
      </w:rPr>
    </w:lvl>
    <w:lvl w:ilvl="4" w:tplc="FA58C382">
      <w:numFmt w:val="bullet"/>
      <w:lvlText w:val="•"/>
      <w:lvlJc w:val="left"/>
      <w:pPr>
        <w:ind w:left="4436" w:hanging="567"/>
      </w:pPr>
      <w:rPr>
        <w:rFonts w:hint="default"/>
        <w:lang w:val="es-ES" w:eastAsia="en-US" w:bidi="ar-SA"/>
      </w:rPr>
    </w:lvl>
    <w:lvl w:ilvl="5" w:tplc="D1903616">
      <w:numFmt w:val="bullet"/>
      <w:lvlText w:val="•"/>
      <w:lvlJc w:val="left"/>
      <w:pPr>
        <w:ind w:left="5370" w:hanging="567"/>
      </w:pPr>
      <w:rPr>
        <w:rFonts w:hint="default"/>
        <w:lang w:val="es-ES" w:eastAsia="en-US" w:bidi="ar-SA"/>
      </w:rPr>
    </w:lvl>
    <w:lvl w:ilvl="6" w:tplc="6F5A4C22">
      <w:numFmt w:val="bullet"/>
      <w:lvlText w:val="•"/>
      <w:lvlJc w:val="left"/>
      <w:pPr>
        <w:ind w:left="6304" w:hanging="567"/>
      </w:pPr>
      <w:rPr>
        <w:rFonts w:hint="default"/>
        <w:lang w:val="es-ES" w:eastAsia="en-US" w:bidi="ar-SA"/>
      </w:rPr>
    </w:lvl>
    <w:lvl w:ilvl="7" w:tplc="02188E34">
      <w:numFmt w:val="bullet"/>
      <w:lvlText w:val="•"/>
      <w:lvlJc w:val="left"/>
      <w:pPr>
        <w:ind w:left="7238" w:hanging="567"/>
      </w:pPr>
      <w:rPr>
        <w:rFonts w:hint="default"/>
        <w:lang w:val="es-ES" w:eastAsia="en-US" w:bidi="ar-SA"/>
      </w:rPr>
    </w:lvl>
    <w:lvl w:ilvl="8" w:tplc="DA7C8412">
      <w:numFmt w:val="bullet"/>
      <w:lvlText w:val="•"/>
      <w:lvlJc w:val="left"/>
      <w:pPr>
        <w:ind w:left="8172" w:hanging="567"/>
      </w:pPr>
      <w:rPr>
        <w:rFonts w:hint="default"/>
        <w:lang w:val="es-ES" w:eastAsia="en-US" w:bidi="ar-SA"/>
      </w:rPr>
    </w:lvl>
  </w:abstractNum>
  <w:abstractNum w:abstractNumId="7" w15:restartNumberingAfterBreak="0">
    <w:nsid w:val="251B41BD"/>
    <w:multiLevelType w:val="hybridMultilevel"/>
    <w:tmpl w:val="40A2F62E"/>
    <w:lvl w:ilvl="0" w:tplc="61A0A6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6C0256"/>
    <w:multiLevelType w:val="hybridMultilevel"/>
    <w:tmpl w:val="77DA66A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B27A8F2A">
      <w:start w:val="4"/>
      <w:numFmt w:val="bullet"/>
      <w:lvlText w:val="–"/>
      <w:lvlJc w:val="left"/>
      <w:pPr>
        <w:ind w:left="1800" w:hanging="360"/>
      </w:pPr>
      <w:rPr>
        <w:rFonts w:ascii="Arial" w:eastAsia="Calibr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12A5225"/>
    <w:multiLevelType w:val="hybridMultilevel"/>
    <w:tmpl w:val="CF2C6DDC"/>
    <w:lvl w:ilvl="0" w:tplc="D97CEC7C">
      <w:start w:val="1"/>
      <w:numFmt w:val="bullet"/>
      <w:lvlText w:val=""/>
      <w:lvlJc w:val="left"/>
      <w:pPr>
        <w:ind w:left="720" w:hanging="360"/>
      </w:pPr>
      <w:rPr>
        <w:rFonts w:ascii="Symbol" w:eastAsia="Calibri" w:hAnsi="Symbol" w:cs="Times New Roman" w:hint="default"/>
        <w:b w:val="0"/>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7022F9"/>
    <w:multiLevelType w:val="hybridMultilevel"/>
    <w:tmpl w:val="E18417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023518A"/>
    <w:multiLevelType w:val="hybridMultilevel"/>
    <w:tmpl w:val="620033DC"/>
    <w:lvl w:ilvl="0" w:tplc="FFFFFFFF">
      <w:start w:val="1"/>
      <w:numFmt w:val="decimal"/>
      <w:lvlText w:val="%1."/>
      <w:lvlJc w:val="left"/>
      <w:pPr>
        <w:ind w:left="720" w:hanging="360"/>
      </w:pPr>
      <w:rPr>
        <w:rFonts w:hint="default"/>
      </w:rPr>
    </w:lvl>
    <w:lvl w:ilvl="1" w:tplc="FFFFFFFF">
      <w:start w:val="1"/>
      <w:numFmt w:val="bullet"/>
      <w:lvlText w:val=""/>
      <w:lvlJc w:val="left"/>
      <w:pPr>
        <w:ind w:left="10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6A0D05"/>
    <w:multiLevelType w:val="hybridMultilevel"/>
    <w:tmpl w:val="48F2D12E"/>
    <w:lvl w:ilvl="0" w:tplc="240A0001">
      <w:start w:val="1"/>
      <w:numFmt w:val="bullet"/>
      <w:lvlText w:val=""/>
      <w:lvlJc w:val="left"/>
      <w:pPr>
        <w:ind w:left="705" w:hanging="705"/>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70E1491"/>
    <w:multiLevelType w:val="hybridMultilevel"/>
    <w:tmpl w:val="7AB4DD86"/>
    <w:lvl w:ilvl="0" w:tplc="E76A6402">
      <w:start w:val="1"/>
      <w:numFmt w:val="bullet"/>
      <w:lvlText w:val="•"/>
      <w:lvlJc w:val="left"/>
      <w:pPr>
        <w:tabs>
          <w:tab w:val="num" w:pos="720"/>
        </w:tabs>
        <w:ind w:left="720" w:hanging="360"/>
      </w:pPr>
      <w:rPr>
        <w:rFonts w:ascii="Times New Roman" w:hAnsi="Times New Roman" w:hint="default"/>
      </w:rPr>
    </w:lvl>
    <w:lvl w:ilvl="1" w:tplc="2692F950" w:tentative="1">
      <w:start w:val="1"/>
      <w:numFmt w:val="bullet"/>
      <w:lvlText w:val="•"/>
      <w:lvlJc w:val="left"/>
      <w:pPr>
        <w:tabs>
          <w:tab w:val="num" w:pos="1440"/>
        </w:tabs>
        <w:ind w:left="1440" w:hanging="360"/>
      </w:pPr>
      <w:rPr>
        <w:rFonts w:ascii="Times New Roman" w:hAnsi="Times New Roman" w:hint="default"/>
      </w:rPr>
    </w:lvl>
    <w:lvl w:ilvl="2" w:tplc="3BD48882" w:tentative="1">
      <w:start w:val="1"/>
      <w:numFmt w:val="bullet"/>
      <w:lvlText w:val="•"/>
      <w:lvlJc w:val="left"/>
      <w:pPr>
        <w:tabs>
          <w:tab w:val="num" w:pos="2160"/>
        </w:tabs>
        <w:ind w:left="2160" w:hanging="360"/>
      </w:pPr>
      <w:rPr>
        <w:rFonts w:ascii="Times New Roman" w:hAnsi="Times New Roman" w:hint="default"/>
      </w:rPr>
    </w:lvl>
    <w:lvl w:ilvl="3" w:tplc="4A947670" w:tentative="1">
      <w:start w:val="1"/>
      <w:numFmt w:val="bullet"/>
      <w:lvlText w:val="•"/>
      <w:lvlJc w:val="left"/>
      <w:pPr>
        <w:tabs>
          <w:tab w:val="num" w:pos="2880"/>
        </w:tabs>
        <w:ind w:left="2880" w:hanging="360"/>
      </w:pPr>
      <w:rPr>
        <w:rFonts w:ascii="Times New Roman" w:hAnsi="Times New Roman" w:hint="default"/>
      </w:rPr>
    </w:lvl>
    <w:lvl w:ilvl="4" w:tplc="1414BB0C" w:tentative="1">
      <w:start w:val="1"/>
      <w:numFmt w:val="bullet"/>
      <w:lvlText w:val="•"/>
      <w:lvlJc w:val="left"/>
      <w:pPr>
        <w:tabs>
          <w:tab w:val="num" w:pos="3600"/>
        </w:tabs>
        <w:ind w:left="3600" w:hanging="360"/>
      </w:pPr>
      <w:rPr>
        <w:rFonts w:ascii="Times New Roman" w:hAnsi="Times New Roman" w:hint="default"/>
      </w:rPr>
    </w:lvl>
    <w:lvl w:ilvl="5" w:tplc="35DA3F94" w:tentative="1">
      <w:start w:val="1"/>
      <w:numFmt w:val="bullet"/>
      <w:lvlText w:val="•"/>
      <w:lvlJc w:val="left"/>
      <w:pPr>
        <w:tabs>
          <w:tab w:val="num" w:pos="4320"/>
        </w:tabs>
        <w:ind w:left="4320" w:hanging="360"/>
      </w:pPr>
      <w:rPr>
        <w:rFonts w:ascii="Times New Roman" w:hAnsi="Times New Roman" w:hint="default"/>
      </w:rPr>
    </w:lvl>
    <w:lvl w:ilvl="6" w:tplc="90FA697E" w:tentative="1">
      <w:start w:val="1"/>
      <w:numFmt w:val="bullet"/>
      <w:lvlText w:val="•"/>
      <w:lvlJc w:val="left"/>
      <w:pPr>
        <w:tabs>
          <w:tab w:val="num" w:pos="5040"/>
        </w:tabs>
        <w:ind w:left="5040" w:hanging="360"/>
      </w:pPr>
      <w:rPr>
        <w:rFonts w:ascii="Times New Roman" w:hAnsi="Times New Roman" w:hint="default"/>
      </w:rPr>
    </w:lvl>
    <w:lvl w:ilvl="7" w:tplc="6388CEAA" w:tentative="1">
      <w:start w:val="1"/>
      <w:numFmt w:val="bullet"/>
      <w:lvlText w:val="•"/>
      <w:lvlJc w:val="left"/>
      <w:pPr>
        <w:tabs>
          <w:tab w:val="num" w:pos="5760"/>
        </w:tabs>
        <w:ind w:left="5760" w:hanging="360"/>
      </w:pPr>
      <w:rPr>
        <w:rFonts w:ascii="Times New Roman" w:hAnsi="Times New Roman" w:hint="default"/>
      </w:rPr>
    </w:lvl>
    <w:lvl w:ilvl="8" w:tplc="C4BE48C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80A7E8F"/>
    <w:multiLevelType w:val="hybridMultilevel"/>
    <w:tmpl w:val="535C47AA"/>
    <w:lvl w:ilvl="0" w:tplc="EEB4F24E">
      <w:start w:val="1"/>
      <w:numFmt w:val="decimal"/>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755AB5"/>
    <w:multiLevelType w:val="hybridMultilevel"/>
    <w:tmpl w:val="1C8A635E"/>
    <w:lvl w:ilvl="0" w:tplc="2138A86E">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B6F7E73"/>
    <w:multiLevelType w:val="hybridMultilevel"/>
    <w:tmpl w:val="82D464E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763F1F"/>
    <w:multiLevelType w:val="multilevel"/>
    <w:tmpl w:val="8F90F5B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3903E7"/>
    <w:multiLevelType w:val="hybridMultilevel"/>
    <w:tmpl w:val="A3B60F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55A75AC"/>
    <w:multiLevelType w:val="hybridMultilevel"/>
    <w:tmpl w:val="AAB6BC72"/>
    <w:lvl w:ilvl="0" w:tplc="072A3814">
      <w:start w:val="1"/>
      <w:numFmt w:val="decimal"/>
      <w:lvlText w:val="%1."/>
      <w:lvlJc w:val="left"/>
      <w:pPr>
        <w:ind w:left="360" w:hanging="360"/>
      </w:pPr>
      <w:rPr>
        <w:b w:val="0"/>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66BD3527"/>
    <w:multiLevelType w:val="hybridMultilevel"/>
    <w:tmpl w:val="C5DE87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E335A3A"/>
    <w:multiLevelType w:val="hybridMultilevel"/>
    <w:tmpl w:val="557CEADC"/>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7BD144CF"/>
    <w:multiLevelType w:val="hybridMultilevel"/>
    <w:tmpl w:val="82D464E0"/>
    <w:lvl w:ilvl="0" w:tplc="536EFD1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C2455DB"/>
    <w:multiLevelType w:val="hybridMultilevel"/>
    <w:tmpl w:val="144E782A"/>
    <w:lvl w:ilvl="0" w:tplc="D2A47222">
      <w:numFmt w:val="bullet"/>
      <w:lvlText w:val="-"/>
      <w:lvlJc w:val="left"/>
      <w:pPr>
        <w:ind w:left="720" w:hanging="360"/>
      </w:pPr>
      <w:rPr>
        <w:rFonts w:ascii="Verdana" w:eastAsia="Calibr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C687E58"/>
    <w:multiLevelType w:val="hybridMultilevel"/>
    <w:tmpl w:val="3D9032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49932196">
    <w:abstractNumId w:val="4"/>
  </w:num>
  <w:num w:numId="2" w16cid:durableId="1957173327">
    <w:abstractNumId w:val="1"/>
  </w:num>
  <w:num w:numId="3" w16cid:durableId="975524339">
    <w:abstractNumId w:val="14"/>
  </w:num>
  <w:num w:numId="4" w16cid:durableId="656768656">
    <w:abstractNumId w:val="24"/>
  </w:num>
  <w:num w:numId="5" w16cid:durableId="1538544862">
    <w:abstractNumId w:val="11"/>
  </w:num>
  <w:num w:numId="6" w16cid:durableId="208811605">
    <w:abstractNumId w:val="6"/>
  </w:num>
  <w:num w:numId="7" w16cid:durableId="1592274420">
    <w:abstractNumId w:val="7"/>
  </w:num>
  <w:num w:numId="8" w16cid:durableId="2132362756">
    <w:abstractNumId w:val="19"/>
  </w:num>
  <w:num w:numId="9" w16cid:durableId="1056201506">
    <w:abstractNumId w:val="8"/>
  </w:num>
  <w:num w:numId="10" w16cid:durableId="263461734">
    <w:abstractNumId w:val="0"/>
  </w:num>
  <w:num w:numId="11" w16cid:durableId="176192776">
    <w:abstractNumId w:val="12"/>
  </w:num>
  <w:num w:numId="12" w16cid:durableId="2012755148">
    <w:abstractNumId w:val="10"/>
  </w:num>
  <w:num w:numId="13" w16cid:durableId="494107919">
    <w:abstractNumId w:val="5"/>
  </w:num>
  <w:num w:numId="14" w16cid:durableId="287204545">
    <w:abstractNumId w:val="2"/>
  </w:num>
  <w:num w:numId="15" w16cid:durableId="538863198">
    <w:abstractNumId w:val="21"/>
  </w:num>
  <w:num w:numId="16" w16cid:durableId="176120954">
    <w:abstractNumId w:val="17"/>
  </w:num>
  <w:num w:numId="17" w16cid:durableId="1384476952">
    <w:abstractNumId w:val="3"/>
  </w:num>
  <w:num w:numId="18" w16cid:durableId="9916687">
    <w:abstractNumId w:val="20"/>
  </w:num>
  <w:num w:numId="19" w16cid:durableId="568078963">
    <w:abstractNumId w:val="13"/>
  </w:num>
  <w:num w:numId="20" w16cid:durableId="6255846">
    <w:abstractNumId w:val="23"/>
  </w:num>
  <w:num w:numId="21" w16cid:durableId="1315446721">
    <w:abstractNumId w:val="22"/>
  </w:num>
  <w:num w:numId="22" w16cid:durableId="1273823992">
    <w:abstractNumId w:val="16"/>
  </w:num>
  <w:num w:numId="23" w16cid:durableId="2125154686">
    <w:abstractNumId w:val="9"/>
  </w:num>
  <w:num w:numId="24" w16cid:durableId="499077879">
    <w:abstractNumId w:val="18"/>
  </w:num>
  <w:num w:numId="25" w16cid:durableId="207149369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DD"/>
    <w:rsid w:val="00000E6B"/>
    <w:rsid w:val="00003FDF"/>
    <w:rsid w:val="000051CD"/>
    <w:rsid w:val="0000593F"/>
    <w:rsid w:val="00013E83"/>
    <w:rsid w:val="00032815"/>
    <w:rsid w:val="00036A92"/>
    <w:rsid w:val="00044C64"/>
    <w:rsid w:val="00047346"/>
    <w:rsid w:val="00051140"/>
    <w:rsid w:val="00051E39"/>
    <w:rsid w:val="00054F36"/>
    <w:rsid w:val="0007347F"/>
    <w:rsid w:val="00074E23"/>
    <w:rsid w:val="00081A21"/>
    <w:rsid w:val="00084624"/>
    <w:rsid w:val="000869C4"/>
    <w:rsid w:val="000970BF"/>
    <w:rsid w:val="000A360E"/>
    <w:rsid w:val="000A598C"/>
    <w:rsid w:val="000B5C46"/>
    <w:rsid w:val="000C3628"/>
    <w:rsid w:val="000C48FF"/>
    <w:rsid w:val="000C6503"/>
    <w:rsid w:val="000C709A"/>
    <w:rsid w:val="000D508A"/>
    <w:rsid w:val="000D59A8"/>
    <w:rsid w:val="000E48BC"/>
    <w:rsid w:val="000F0CC0"/>
    <w:rsid w:val="000F6A85"/>
    <w:rsid w:val="001013A3"/>
    <w:rsid w:val="001038C7"/>
    <w:rsid w:val="00112B50"/>
    <w:rsid w:val="00121841"/>
    <w:rsid w:val="00121A09"/>
    <w:rsid w:val="0012335D"/>
    <w:rsid w:val="00133AEF"/>
    <w:rsid w:val="00142C39"/>
    <w:rsid w:val="001432C5"/>
    <w:rsid w:val="00146F91"/>
    <w:rsid w:val="00155291"/>
    <w:rsid w:val="001672A4"/>
    <w:rsid w:val="00174FAF"/>
    <w:rsid w:val="001763FA"/>
    <w:rsid w:val="001862B5"/>
    <w:rsid w:val="00186F54"/>
    <w:rsid w:val="001871D6"/>
    <w:rsid w:val="00197545"/>
    <w:rsid w:val="001A5EA6"/>
    <w:rsid w:val="001B4B4E"/>
    <w:rsid w:val="001C6821"/>
    <w:rsid w:val="001D59B1"/>
    <w:rsid w:val="001E599C"/>
    <w:rsid w:val="00200D9C"/>
    <w:rsid w:val="00212C57"/>
    <w:rsid w:val="0021584E"/>
    <w:rsid w:val="002352AF"/>
    <w:rsid w:val="00243275"/>
    <w:rsid w:val="00257F2E"/>
    <w:rsid w:val="00260D31"/>
    <w:rsid w:val="00265A48"/>
    <w:rsid w:val="0027733F"/>
    <w:rsid w:val="002821C0"/>
    <w:rsid w:val="00283D68"/>
    <w:rsid w:val="002A031F"/>
    <w:rsid w:val="002A7FAC"/>
    <w:rsid w:val="002B1363"/>
    <w:rsid w:val="002B2370"/>
    <w:rsid w:val="002C3F02"/>
    <w:rsid w:val="002D2FFE"/>
    <w:rsid w:val="002D35EA"/>
    <w:rsid w:val="002E1C19"/>
    <w:rsid w:val="002E3599"/>
    <w:rsid w:val="002E3C17"/>
    <w:rsid w:val="002F0B60"/>
    <w:rsid w:val="002F23B5"/>
    <w:rsid w:val="002F30B5"/>
    <w:rsid w:val="002F3C0B"/>
    <w:rsid w:val="002F6E29"/>
    <w:rsid w:val="003003F3"/>
    <w:rsid w:val="003004CB"/>
    <w:rsid w:val="0030181D"/>
    <w:rsid w:val="003063DA"/>
    <w:rsid w:val="0030674A"/>
    <w:rsid w:val="00312906"/>
    <w:rsid w:val="003162E1"/>
    <w:rsid w:val="00325449"/>
    <w:rsid w:val="00336F18"/>
    <w:rsid w:val="00340FD2"/>
    <w:rsid w:val="00351726"/>
    <w:rsid w:val="00351EEE"/>
    <w:rsid w:val="00353825"/>
    <w:rsid w:val="00354215"/>
    <w:rsid w:val="003550E6"/>
    <w:rsid w:val="00361B79"/>
    <w:rsid w:val="00364663"/>
    <w:rsid w:val="00365B81"/>
    <w:rsid w:val="00371305"/>
    <w:rsid w:val="00374FC8"/>
    <w:rsid w:val="0037685A"/>
    <w:rsid w:val="0038648B"/>
    <w:rsid w:val="003C32A6"/>
    <w:rsid w:val="003D57C9"/>
    <w:rsid w:val="003D5A7B"/>
    <w:rsid w:val="003F1011"/>
    <w:rsid w:val="003F5804"/>
    <w:rsid w:val="003F5B1A"/>
    <w:rsid w:val="00400017"/>
    <w:rsid w:val="00440DC3"/>
    <w:rsid w:val="00442912"/>
    <w:rsid w:val="00456B1A"/>
    <w:rsid w:val="0046565C"/>
    <w:rsid w:val="00467515"/>
    <w:rsid w:val="00477368"/>
    <w:rsid w:val="00480B80"/>
    <w:rsid w:val="00486899"/>
    <w:rsid w:val="004905DB"/>
    <w:rsid w:val="004A6393"/>
    <w:rsid w:val="004B2A90"/>
    <w:rsid w:val="004C3B35"/>
    <w:rsid w:val="004C57E7"/>
    <w:rsid w:val="004E7989"/>
    <w:rsid w:val="004F5DDE"/>
    <w:rsid w:val="00504CA2"/>
    <w:rsid w:val="0050562B"/>
    <w:rsid w:val="00505FEF"/>
    <w:rsid w:val="00507ECD"/>
    <w:rsid w:val="005113AA"/>
    <w:rsid w:val="00527070"/>
    <w:rsid w:val="00527691"/>
    <w:rsid w:val="00530CF9"/>
    <w:rsid w:val="005411CB"/>
    <w:rsid w:val="00550179"/>
    <w:rsid w:val="00554987"/>
    <w:rsid w:val="005570C1"/>
    <w:rsid w:val="005626FB"/>
    <w:rsid w:val="005650EE"/>
    <w:rsid w:val="005711FA"/>
    <w:rsid w:val="00582992"/>
    <w:rsid w:val="00595216"/>
    <w:rsid w:val="005A0752"/>
    <w:rsid w:val="005B09AD"/>
    <w:rsid w:val="005B0D7F"/>
    <w:rsid w:val="005B17D2"/>
    <w:rsid w:val="005B7148"/>
    <w:rsid w:val="005C0CD1"/>
    <w:rsid w:val="005D1379"/>
    <w:rsid w:val="005D28F9"/>
    <w:rsid w:val="005D7FE2"/>
    <w:rsid w:val="005E4336"/>
    <w:rsid w:val="005E799A"/>
    <w:rsid w:val="005F2F61"/>
    <w:rsid w:val="005F4EAD"/>
    <w:rsid w:val="006078A6"/>
    <w:rsid w:val="006172B0"/>
    <w:rsid w:val="0063293B"/>
    <w:rsid w:val="006349C7"/>
    <w:rsid w:val="00644381"/>
    <w:rsid w:val="00644C8E"/>
    <w:rsid w:val="00651316"/>
    <w:rsid w:val="0066191D"/>
    <w:rsid w:val="0066590C"/>
    <w:rsid w:val="0069171D"/>
    <w:rsid w:val="00692F37"/>
    <w:rsid w:val="0069588D"/>
    <w:rsid w:val="00697A61"/>
    <w:rsid w:val="006A4226"/>
    <w:rsid w:val="006B2B6C"/>
    <w:rsid w:val="006D15DF"/>
    <w:rsid w:val="006D532F"/>
    <w:rsid w:val="006D7C7C"/>
    <w:rsid w:val="006E0BC8"/>
    <w:rsid w:val="006F0BEA"/>
    <w:rsid w:val="006F1852"/>
    <w:rsid w:val="006F2659"/>
    <w:rsid w:val="006F2E91"/>
    <w:rsid w:val="00705BBA"/>
    <w:rsid w:val="00705EBE"/>
    <w:rsid w:val="00710C24"/>
    <w:rsid w:val="0071460E"/>
    <w:rsid w:val="00722065"/>
    <w:rsid w:val="0073271E"/>
    <w:rsid w:val="00740E4D"/>
    <w:rsid w:val="007425C8"/>
    <w:rsid w:val="00751554"/>
    <w:rsid w:val="007557C7"/>
    <w:rsid w:val="0076779F"/>
    <w:rsid w:val="00774A47"/>
    <w:rsid w:val="00777295"/>
    <w:rsid w:val="00785C86"/>
    <w:rsid w:val="00792691"/>
    <w:rsid w:val="007961E2"/>
    <w:rsid w:val="007964A2"/>
    <w:rsid w:val="0079760C"/>
    <w:rsid w:val="007A2D6D"/>
    <w:rsid w:val="007A737B"/>
    <w:rsid w:val="007C0054"/>
    <w:rsid w:val="007C387B"/>
    <w:rsid w:val="007D42C1"/>
    <w:rsid w:val="007D613C"/>
    <w:rsid w:val="007D6BC0"/>
    <w:rsid w:val="007E336F"/>
    <w:rsid w:val="007E3F88"/>
    <w:rsid w:val="007F32F0"/>
    <w:rsid w:val="007F337F"/>
    <w:rsid w:val="007F7207"/>
    <w:rsid w:val="007F7D87"/>
    <w:rsid w:val="00811B44"/>
    <w:rsid w:val="008218D3"/>
    <w:rsid w:val="0082402B"/>
    <w:rsid w:val="008246BB"/>
    <w:rsid w:val="008260B3"/>
    <w:rsid w:val="00831568"/>
    <w:rsid w:val="00836AE8"/>
    <w:rsid w:val="00836BF9"/>
    <w:rsid w:val="00863C57"/>
    <w:rsid w:val="0087774E"/>
    <w:rsid w:val="00884330"/>
    <w:rsid w:val="008863CA"/>
    <w:rsid w:val="00890A37"/>
    <w:rsid w:val="00894C9A"/>
    <w:rsid w:val="008A0B6E"/>
    <w:rsid w:val="008A4162"/>
    <w:rsid w:val="008B2C30"/>
    <w:rsid w:val="008B2EAC"/>
    <w:rsid w:val="008B3A5A"/>
    <w:rsid w:val="008C4F46"/>
    <w:rsid w:val="008D0A2A"/>
    <w:rsid w:val="008D6686"/>
    <w:rsid w:val="008E5735"/>
    <w:rsid w:val="008E72C4"/>
    <w:rsid w:val="008F15E9"/>
    <w:rsid w:val="008F3966"/>
    <w:rsid w:val="008F69F4"/>
    <w:rsid w:val="008F709F"/>
    <w:rsid w:val="0091143D"/>
    <w:rsid w:val="0091190F"/>
    <w:rsid w:val="00912900"/>
    <w:rsid w:val="009245A6"/>
    <w:rsid w:val="00927A30"/>
    <w:rsid w:val="00941A67"/>
    <w:rsid w:val="00941D09"/>
    <w:rsid w:val="00947D74"/>
    <w:rsid w:val="0095701C"/>
    <w:rsid w:val="00960BB5"/>
    <w:rsid w:val="00961FA8"/>
    <w:rsid w:val="00965E79"/>
    <w:rsid w:val="009704CF"/>
    <w:rsid w:val="00981200"/>
    <w:rsid w:val="009819DB"/>
    <w:rsid w:val="00991938"/>
    <w:rsid w:val="009A64C7"/>
    <w:rsid w:val="009B28DF"/>
    <w:rsid w:val="009C7087"/>
    <w:rsid w:val="009D0D33"/>
    <w:rsid w:val="009D36E0"/>
    <w:rsid w:val="009D73D0"/>
    <w:rsid w:val="009E784F"/>
    <w:rsid w:val="009F076E"/>
    <w:rsid w:val="009F35AF"/>
    <w:rsid w:val="009F7068"/>
    <w:rsid w:val="00A03439"/>
    <w:rsid w:val="00A04D12"/>
    <w:rsid w:val="00A04D93"/>
    <w:rsid w:val="00A05F2C"/>
    <w:rsid w:val="00A071A4"/>
    <w:rsid w:val="00A1194E"/>
    <w:rsid w:val="00A13627"/>
    <w:rsid w:val="00A16C29"/>
    <w:rsid w:val="00A21534"/>
    <w:rsid w:val="00A230B6"/>
    <w:rsid w:val="00A2346A"/>
    <w:rsid w:val="00A23933"/>
    <w:rsid w:val="00A3467D"/>
    <w:rsid w:val="00A35C22"/>
    <w:rsid w:val="00A36BCB"/>
    <w:rsid w:val="00A41810"/>
    <w:rsid w:val="00A47376"/>
    <w:rsid w:val="00A62813"/>
    <w:rsid w:val="00A7235C"/>
    <w:rsid w:val="00A73DC5"/>
    <w:rsid w:val="00A77E46"/>
    <w:rsid w:val="00A85CDF"/>
    <w:rsid w:val="00A9220D"/>
    <w:rsid w:val="00A9431A"/>
    <w:rsid w:val="00A95019"/>
    <w:rsid w:val="00AA3F1C"/>
    <w:rsid w:val="00AB73C8"/>
    <w:rsid w:val="00AD0387"/>
    <w:rsid w:val="00AD1F31"/>
    <w:rsid w:val="00AD2F4A"/>
    <w:rsid w:val="00AD475E"/>
    <w:rsid w:val="00AE15BE"/>
    <w:rsid w:val="00AE3939"/>
    <w:rsid w:val="00AE5BDB"/>
    <w:rsid w:val="00AE6F99"/>
    <w:rsid w:val="00AF1AA6"/>
    <w:rsid w:val="00B02D84"/>
    <w:rsid w:val="00B03049"/>
    <w:rsid w:val="00B07814"/>
    <w:rsid w:val="00B10A41"/>
    <w:rsid w:val="00B236B0"/>
    <w:rsid w:val="00B2576C"/>
    <w:rsid w:val="00B32E7A"/>
    <w:rsid w:val="00B3599C"/>
    <w:rsid w:val="00B35EBD"/>
    <w:rsid w:val="00B36624"/>
    <w:rsid w:val="00B55424"/>
    <w:rsid w:val="00B64C80"/>
    <w:rsid w:val="00B664A5"/>
    <w:rsid w:val="00B925FA"/>
    <w:rsid w:val="00B95B7D"/>
    <w:rsid w:val="00B95DA7"/>
    <w:rsid w:val="00B97062"/>
    <w:rsid w:val="00BA33DD"/>
    <w:rsid w:val="00BA7056"/>
    <w:rsid w:val="00BB1379"/>
    <w:rsid w:val="00BD5523"/>
    <w:rsid w:val="00BE0ED4"/>
    <w:rsid w:val="00BE639F"/>
    <w:rsid w:val="00BF72A9"/>
    <w:rsid w:val="00C00746"/>
    <w:rsid w:val="00C03EEB"/>
    <w:rsid w:val="00C06DC1"/>
    <w:rsid w:val="00C12006"/>
    <w:rsid w:val="00C12F4B"/>
    <w:rsid w:val="00C136E0"/>
    <w:rsid w:val="00C14DED"/>
    <w:rsid w:val="00C1580A"/>
    <w:rsid w:val="00C15C60"/>
    <w:rsid w:val="00C34327"/>
    <w:rsid w:val="00C35771"/>
    <w:rsid w:val="00C37257"/>
    <w:rsid w:val="00C434F8"/>
    <w:rsid w:val="00C44D6A"/>
    <w:rsid w:val="00C52E9A"/>
    <w:rsid w:val="00C61876"/>
    <w:rsid w:val="00C657EB"/>
    <w:rsid w:val="00C65D2F"/>
    <w:rsid w:val="00C660BC"/>
    <w:rsid w:val="00C747BB"/>
    <w:rsid w:val="00C77B0C"/>
    <w:rsid w:val="00CA5700"/>
    <w:rsid w:val="00CB64EA"/>
    <w:rsid w:val="00CC1354"/>
    <w:rsid w:val="00CD35AE"/>
    <w:rsid w:val="00CD7A32"/>
    <w:rsid w:val="00CF0BDB"/>
    <w:rsid w:val="00D060F0"/>
    <w:rsid w:val="00D06A70"/>
    <w:rsid w:val="00D07C18"/>
    <w:rsid w:val="00D10607"/>
    <w:rsid w:val="00D12D79"/>
    <w:rsid w:val="00D22D7B"/>
    <w:rsid w:val="00D3489A"/>
    <w:rsid w:val="00D35923"/>
    <w:rsid w:val="00D45F06"/>
    <w:rsid w:val="00D56353"/>
    <w:rsid w:val="00D6420F"/>
    <w:rsid w:val="00D65BE6"/>
    <w:rsid w:val="00D76960"/>
    <w:rsid w:val="00D76A3A"/>
    <w:rsid w:val="00D76AFD"/>
    <w:rsid w:val="00D76F84"/>
    <w:rsid w:val="00D8029A"/>
    <w:rsid w:val="00D86325"/>
    <w:rsid w:val="00D914A6"/>
    <w:rsid w:val="00D91921"/>
    <w:rsid w:val="00D934DF"/>
    <w:rsid w:val="00D963DC"/>
    <w:rsid w:val="00D97312"/>
    <w:rsid w:val="00DA573A"/>
    <w:rsid w:val="00DB5AD7"/>
    <w:rsid w:val="00DC094C"/>
    <w:rsid w:val="00DC1F0E"/>
    <w:rsid w:val="00DC3256"/>
    <w:rsid w:val="00DC6181"/>
    <w:rsid w:val="00DC7C0D"/>
    <w:rsid w:val="00DD51DD"/>
    <w:rsid w:val="00DD7557"/>
    <w:rsid w:val="00DE08C3"/>
    <w:rsid w:val="00DE1735"/>
    <w:rsid w:val="00DE77DF"/>
    <w:rsid w:val="00E0633F"/>
    <w:rsid w:val="00E06794"/>
    <w:rsid w:val="00E10285"/>
    <w:rsid w:val="00E117D0"/>
    <w:rsid w:val="00E12001"/>
    <w:rsid w:val="00E1369E"/>
    <w:rsid w:val="00E14DA4"/>
    <w:rsid w:val="00E15519"/>
    <w:rsid w:val="00E32852"/>
    <w:rsid w:val="00E359FE"/>
    <w:rsid w:val="00E82F56"/>
    <w:rsid w:val="00E854D5"/>
    <w:rsid w:val="00E90CEE"/>
    <w:rsid w:val="00E9203F"/>
    <w:rsid w:val="00EB3B9A"/>
    <w:rsid w:val="00EB6B14"/>
    <w:rsid w:val="00EC0865"/>
    <w:rsid w:val="00EC48F0"/>
    <w:rsid w:val="00ED02AB"/>
    <w:rsid w:val="00ED7A1E"/>
    <w:rsid w:val="00EE0341"/>
    <w:rsid w:val="00EF178A"/>
    <w:rsid w:val="00F03022"/>
    <w:rsid w:val="00F13DF4"/>
    <w:rsid w:val="00F21B3F"/>
    <w:rsid w:val="00F36932"/>
    <w:rsid w:val="00F505F5"/>
    <w:rsid w:val="00F54F25"/>
    <w:rsid w:val="00F613D7"/>
    <w:rsid w:val="00F8699B"/>
    <w:rsid w:val="00F94786"/>
    <w:rsid w:val="00F97375"/>
    <w:rsid w:val="00FA0B4C"/>
    <w:rsid w:val="00FA2203"/>
    <w:rsid w:val="00FA353F"/>
    <w:rsid w:val="00FC1737"/>
    <w:rsid w:val="00FC2160"/>
    <w:rsid w:val="00FC53EA"/>
    <w:rsid w:val="00FC7E12"/>
    <w:rsid w:val="00FD665D"/>
    <w:rsid w:val="00FE1921"/>
    <w:rsid w:val="00FE44CB"/>
    <w:rsid w:val="00FF07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68EE0"/>
  <w15:docId w15:val="{4C4A3D5E-C561-4878-BDCA-F9D1A3E3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D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7961E2"/>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s-CO"/>
    </w:rPr>
  </w:style>
  <w:style w:type="paragraph" w:styleId="Ttulo2">
    <w:name w:val="heading 2"/>
    <w:basedOn w:val="Normal"/>
    <w:next w:val="Normal"/>
    <w:link w:val="Ttulo2Car"/>
    <w:uiPriority w:val="9"/>
    <w:unhideWhenUsed/>
    <w:qFormat/>
    <w:rsid w:val="00EE0341"/>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qFormat/>
    <w:rsid w:val="002A031F"/>
    <w:pPr>
      <w:keepNext/>
      <w:spacing w:after="0" w:line="240" w:lineRule="auto"/>
      <w:outlineLvl w:val="2"/>
    </w:pPr>
    <w:rPr>
      <w:rFonts w:ascii="Arial" w:eastAsia="Batang" w:hAnsi="Arial"/>
      <w:sz w:val="24"/>
      <w:szCs w:val="20"/>
      <w:lang w:eastAsia="es-ES"/>
    </w:rPr>
  </w:style>
  <w:style w:type="paragraph" w:styleId="Ttulo4">
    <w:name w:val="heading 4"/>
    <w:basedOn w:val="Normal"/>
    <w:next w:val="Normal"/>
    <w:link w:val="Ttulo4Car"/>
    <w:uiPriority w:val="9"/>
    <w:semiHidden/>
    <w:unhideWhenUsed/>
    <w:qFormat/>
    <w:rsid w:val="00351E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D51DD"/>
  </w:style>
  <w:style w:type="paragraph" w:styleId="NormalWeb">
    <w:name w:val="Normal (Web)"/>
    <w:basedOn w:val="Normal"/>
    <w:uiPriority w:val="99"/>
    <w:unhideWhenUsed/>
    <w:rsid w:val="00E14DA4"/>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E14DA4"/>
  </w:style>
  <w:style w:type="character" w:customStyle="1" w:styleId="commoncomponentsqlikview">
    <w:name w:val="commoncomponentsqlikview"/>
    <w:basedOn w:val="Fuentedeprrafopredeter"/>
    <w:rsid w:val="00E14DA4"/>
  </w:style>
  <w:style w:type="character" w:customStyle="1" w:styleId="path">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DA4"/>
    <w:rPr>
      <w:rFonts w:ascii="Segoe UI" w:eastAsia="Calibri" w:hAnsi="Segoe UI" w:cs="Segoe UI"/>
      <w:sz w:val="18"/>
      <w:szCs w:val="18"/>
      <w:lang w:val="es-ES"/>
    </w:rPr>
  </w:style>
  <w:style w:type="character" w:styleId="Fuerte">
    <w:name w:val="Strong"/>
    <w:basedOn w:val="Fuentedeprrafopredeter"/>
    <w:uiPriority w:val="22"/>
    <w:qFormat/>
    <w:rsid w:val="000C48FF"/>
    <w:rPr>
      <w:b/>
      <w:bCs/>
    </w:rPr>
  </w:style>
  <w:style w:type="character" w:customStyle="1" w:styleId="Ttulo1Car">
    <w:name w:val="Título 1 Car"/>
    <w:basedOn w:val="Fuentedeprrafopredeter"/>
    <w:link w:val="Ttulo1"/>
    <w:uiPriority w:val="9"/>
    <w:rsid w:val="007961E2"/>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7961E2"/>
    <w:rPr>
      <w:color w:val="0000FF"/>
      <w:u w:val="single"/>
    </w:rPr>
  </w:style>
  <w:style w:type="paragraph" w:styleId="Prrafodelista">
    <w:name w:val="List Paragraph"/>
    <w:aliases w:val="Bullet List,FooterText,numbered,Paragraphe de liste1,Bulletr List Paragraph,列出段落,列出段落1,List Paragraph21,Listeafsnit1,Parágrafo da Lista1,Ha,Normal. Viñetas,Sombreado vistoso - Énfasis 31,List Paragraph1,List Paragraph,HOJA,Bolita,List,l"/>
    <w:basedOn w:val="Normal"/>
    <w:link w:val="PrrafodelistaCar"/>
    <w:uiPriority w:val="1"/>
    <w:qFormat/>
    <w:rsid w:val="007961E2"/>
    <w:pPr>
      <w:spacing w:after="160" w:line="259" w:lineRule="auto"/>
      <w:ind w:left="720"/>
      <w:contextualSpacing/>
    </w:pPr>
    <w:rPr>
      <w:rFonts w:asciiTheme="minorHAnsi" w:eastAsiaTheme="minorHAnsi" w:hAnsiTheme="minorHAnsi" w:cstheme="minorBidi"/>
      <w:lang w:val="es-CO"/>
    </w:rPr>
  </w:style>
  <w:style w:type="paragraph" w:styleId="Textonotapie">
    <w:name w:val="footnote text"/>
    <w:aliases w:val="FA Fußnotentext,FA,Footnote Text Char Char Char Char Char,Footnote Text Char Char Char Char,Footnote reference,FA Fu,fn,texto de nota al pie Car,ft Car,Texto nota pie Car Car1,Texto nota pie Car1 Car,ft Car Car Car Car,ft,ft Car Car Car"/>
    <w:basedOn w:val="Normal"/>
    <w:link w:val="TextonotapieCar"/>
    <w:uiPriority w:val="99"/>
    <w:unhideWhenUsed/>
    <w:qFormat/>
    <w:rsid w:val="007961E2"/>
    <w:pPr>
      <w:spacing w:after="0" w:line="240" w:lineRule="auto"/>
    </w:pPr>
    <w:rPr>
      <w:rFonts w:asciiTheme="minorHAnsi" w:eastAsiaTheme="minorHAnsi" w:hAnsiTheme="minorHAnsi" w:cstheme="minorBidi"/>
      <w:sz w:val="24"/>
      <w:szCs w:val="24"/>
      <w:lang w:val="es-ES_tradnl"/>
    </w:rPr>
  </w:style>
  <w:style w:type="character" w:customStyle="1" w:styleId="TextonotapieCar">
    <w:name w:val="Texto nota pie Car"/>
    <w:aliases w:val="FA Fußnotentext Car,FA Car,Footnote Text Char Char Char Char Char Car,Footnote Text Char Char Char Char Car,Footnote reference Car,FA Fu Car,fn Car,texto de nota al pie Car Car,ft Car Car,Texto nota pie Car Car1 Car,ft Car1"/>
    <w:basedOn w:val="Fuentedeprrafopredeter"/>
    <w:link w:val="Textonotapie"/>
    <w:uiPriority w:val="99"/>
    <w:qFormat/>
    <w:rsid w:val="007961E2"/>
    <w:rPr>
      <w:sz w:val="24"/>
      <w:szCs w:val="24"/>
      <w:lang w:val="es-ES_tradnl"/>
    </w:rPr>
  </w:style>
  <w:style w:type="character" w:styleId="Refdenotaalpie">
    <w:name w:val="footnote reference"/>
    <w:aliases w:val="referencia nota al pie,Footnotes refss,Appel note de bas de page,Footnote number,BVI fnr,f,FZ,Referencia nota al pie,BVI fnr Car Car,BVI fnr Car,BVI fnr Car Car Car Car,Ref. de nota al pie 2,Texto de nota al pie,Texto de nota al pi,F"/>
    <w:basedOn w:val="Fuentedeprrafopredeter"/>
    <w:link w:val="4GChar"/>
    <w:uiPriority w:val="99"/>
    <w:unhideWhenUsed/>
    <w:qFormat/>
    <w:rsid w:val="007961E2"/>
    <w:rPr>
      <w:vertAlign w:val="superscript"/>
    </w:r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Normal. Viñetas Car,List Paragraph1 Car,HOJA Car"/>
    <w:link w:val="Prrafodelista"/>
    <w:uiPriority w:val="34"/>
    <w:qFormat/>
    <w:locked/>
    <w:rsid w:val="007961E2"/>
  </w:style>
  <w:style w:type="paragraph" w:customStyle="1" w:styleId="Cuadrculamedia21">
    <w:name w:val="Cuadrícula media 21"/>
    <w:link w:val="Cuadrculamedia2Car"/>
    <w:uiPriority w:val="1"/>
    <w:qFormat/>
    <w:rsid w:val="007961E2"/>
    <w:pPr>
      <w:spacing w:after="0" w:line="240" w:lineRule="auto"/>
      <w:jc w:val="both"/>
    </w:pPr>
    <w:rPr>
      <w:rFonts w:ascii="Arial" w:eastAsia="Calibri" w:hAnsi="Arial" w:cs="Times New Roman"/>
      <w:sz w:val="24"/>
      <w:szCs w:val="24"/>
      <w:lang w:val="es-ES" w:eastAsia="es-CO"/>
    </w:rPr>
  </w:style>
  <w:style w:type="character" w:customStyle="1" w:styleId="Cuadrculamedia2Car">
    <w:name w:val="Cuadrícula media 2 Car"/>
    <w:link w:val="Cuadrculamedia21"/>
    <w:uiPriority w:val="1"/>
    <w:rsid w:val="007961E2"/>
    <w:rPr>
      <w:rFonts w:ascii="Arial" w:eastAsia="Calibri" w:hAnsi="Arial" w:cs="Times New Roman"/>
      <w:sz w:val="24"/>
      <w:szCs w:val="24"/>
      <w:lang w:val="es-ES"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961E2"/>
    <w:pPr>
      <w:spacing w:after="0" w:line="240" w:lineRule="auto"/>
      <w:jc w:val="both"/>
    </w:pPr>
    <w:rPr>
      <w:rFonts w:asciiTheme="minorHAnsi" w:eastAsiaTheme="minorHAnsi" w:hAnsiTheme="minorHAnsi" w:cstheme="minorBidi"/>
      <w:vertAlign w:val="superscript"/>
      <w:lang w:val="es-CO"/>
    </w:rPr>
  </w:style>
  <w:style w:type="character" w:customStyle="1" w:styleId="normaltextrun">
    <w:name w:val="normaltextrun"/>
    <w:basedOn w:val="Fuentedeprrafopredeter"/>
    <w:rsid w:val="007961E2"/>
  </w:style>
  <w:style w:type="character" w:customStyle="1" w:styleId="eop">
    <w:name w:val="eop"/>
    <w:basedOn w:val="Fuentedeprrafopredeter"/>
    <w:rsid w:val="007961E2"/>
  </w:style>
  <w:style w:type="paragraph" w:customStyle="1" w:styleId="Estilo1">
    <w:name w:val="Estilo1"/>
    <w:basedOn w:val="Normal"/>
    <w:rsid w:val="0066191D"/>
    <w:pPr>
      <w:suppressAutoHyphens/>
      <w:autoSpaceDN w:val="0"/>
      <w:spacing w:after="0" w:line="240" w:lineRule="auto"/>
    </w:pPr>
    <w:rPr>
      <w:rFonts w:ascii="Arial" w:eastAsia="Times New Roman" w:hAnsi="Arial"/>
      <w:sz w:val="20"/>
      <w:szCs w:val="20"/>
      <w:lang w:eastAsia="es-ES" w:bidi="hi-IN"/>
    </w:rPr>
  </w:style>
  <w:style w:type="character" w:customStyle="1" w:styleId="NoSpacingChar">
    <w:name w:val="No Spacing Char"/>
    <w:link w:val="Sinespaciado1"/>
    <w:locked/>
    <w:rsid w:val="004C57E7"/>
    <w:rPr>
      <w:rFonts w:ascii="Times New Roman" w:eastAsia="Times New Roman" w:hAnsi="Times New Roman"/>
      <w:lang w:val="es-ES"/>
    </w:rPr>
  </w:style>
  <w:style w:type="paragraph" w:customStyle="1" w:styleId="Sinespaciado1">
    <w:name w:val="Sin espaciado1"/>
    <w:link w:val="NoSpacingChar"/>
    <w:qFormat/>
    <w:rsid w:val="004C57E7"/>
    <w:pPr>
      <w:spacing w:after="0" w:line="240" w:lineRule="auto"/>
    </w:pPr>
    <w:rPr>
      <w:rFonts w:ascii="Times New Roman" w:eastAsia="Times New Roman" w:hAnsi="Times New Roman"/>
      <w:lang w:val="es-ES"/>
    </w:rPr>
  </w:style>
  <w:style w:type="character" w:customStyle="1" w:styleId="Fuentedeprrafopredeter1">
    <w:name w:val="Fuente de párrafo predeter.1"/>
    <w:rsid w:val="00651316"/>
  </w:style>
  <w:style w:type="character" w:customStyle="1" w:styleId="fuentedeprrafopredeter1111111111">
    <w:name w:val="fuente de párrafo predeter.1_1_1_1_1_1_1_1_1_1"/>
    <w:rsid w:val="00651316"/>
  </w:style>
  <w:style w:type="character" w:customStyle="1" w:styleId="FontStyle37">
    <w:name w:val="Font Style37"/>
    <w:rsid w:val="00651316"/>
    <w:rPr>
      <w:rFonts w:ascii="Arial" w:hAnsi="Arial" w:cs="Arial"/>
      <w:b/>
      <w:bCs/>
      <w:color w:val="000000"/>
      <w:sz w:val="22"/>
      <w:szCs w:val="22"/>
    </w:rPr>
  </w:style>
  <w:style w:type="paragraph" w:customStyle="1" w:styleId="Default">
    <w:name w:val="Default"/>
    <w:link w:val="DefaultCar"/>
    <w:rsid w:val="001C6821"/>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tulo2Car">
    <w:name w:val="Título 2 Car"/>
    <w:basedOn w:val="Fuentedeprrafopredeter"/>
    <w:link w:val="Ttulo2"/>
    <w:uiPriority w:val="9"/>
    <w:rsid w:val="00EE0341"/>
    <w:rPr>
      <w:rFonts w:ascii="Cambria" w:eastAsia="Times New Roman" w:hAnsi="Cambria" w:cs="Times New Roman"/>
      <w:b/>
      <w:bCs/>
      <w:i/>
      <w:iCs/>
      <w:sz w:val="28"/>
      <w:szCs w:val="28"/>
      <w:lang w:val="es-ES"/>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uiPriority w:val="99"/>
    <w:rsid w:val="00EE0341"/>
    <w:pPr>
      <w:spacing w:after="160" w:line="240" w:lineRule="exact"/>
    </w:pPr>
    <w:rPr>
      <w:sz w:val="20"/>
      <w:szCs w:val="20"/>
      <w:vertAlign w:val="superscript"/>
      <w:lang w:val="es-CO" w:eastAsia="es-CO"/>
    </w:rPr>
  </w:style>
  <w:style w:type="character" w:customStyle="1" w:styleId="baj">
    <w:name w:val="b_aj"/>
    <w:rsid w:val="00EE0341"/>
  </w:style>
  <w:style w:type="character" w:styleId="Mencinsinresolver">
    <w:name w:val="Unresolved Mention"/>
    <w:basedOn w:val="Fuentedeprrafopredeter"/>
    <w:uiPriority w:val="99"/>
    <w:semiHidden/>
    <w:unhideWhenUsed/>
    <w:rsid w:val="005A0752"/>
    <w:rPr>
      <w:color w:val="605E5C"/>
      <w:shd w:val="clear" w:color="auto" w:fill="E1DFDD"/>
    </w:rPr>
  </w:style>
  <w:style w:type="paragraph" w:styleId="Sinespaciado">
    <w:name w:val="No Spacing"/>
    <w:aliases w:val="Chulito,Segunda viñeta,CHULITO,Fotografía 10-1,CITA"/>
    <w:link w:val="SinespaciadoCar"/>
    <w:uiPriority w:val="1"/>
    <w:qFormat/>
    <w:rsid w:val="005D7FE2"/>
    <w:pPr>
      <w:spacing w:after="0" w:line="240" w:lineRule="auto"/>
    </w:pPr>
    <w:rPr>
      <w:rFonts w:ascii="Calibri" w:eastAsia="Calibri" w:hAnsi="Calibri" w:cs="Times New Roman"/>
      <w:lang w:val="es-ES"/>
    </w:rPr>
  </w:style>
  <w:style w:type="character" w:customStyle="1" w:styleId="SinespaciadoCar">
    <w:name w:val="Sin espaciado Car"/>
    <w:aliases w:val="Chulito Car,Segunda viñeta Car,CHULITO Car,Fotografía 10-1 Car,CITA Car"/>
    <w:link w:val="Sinespaciado"/>
    <w:uiPriority w:val="1"/>
    <w:locked/>
    <w:rsid w:val="005D7FE2"/>
    <w:rPr>
      <w:rFonts w:ascii="Calibri" w:eastAsia="Calibri" w:hAnsi="Calibri" w:cs="Times New Roman"/>
      <w:lang w:val="es-ES"/>
    </w:rPr>
  </w:style>
  <w:style w:type="paragraph" w:styleId="Textoindependiente">
    <w:name w:val="Body Text"/>
    <w:basedOn w:val="Normal"/>
    <w:link w:val="TextoindependienteCar"/>
    <w:rsid w:val="005D7FE2"/>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5D7FE2"/>
    <w:rPr>
      <w:rFonts w:ascii="Arial" w:eastAsia="Times New Roman" w:hAnsi="Arial" w:cs="Times New Roman"/>
      <w:sz w:val="24"/>
      <w:szCs w:val="20"/>
      <w:lang w:val="es-ES" w:eastAsia="es-ES"/>
    </w:rPr>
  </w:style>
  <w:style w:type="character" w:customStyle="1" w:styleId="DefaultCar">
    <w:name w:val="Default Car"/>
    <w:link w:val="Default"/>
    <w:locked/>
    <w:rsid w:val="005D7FE2"/>
    <w:rPr>
      <w:rFonts w:ascii="Century Gothic" w:hAnsi="Century Gothic" w:cs="Century Gothic"/>
      <w:color w:val="000000"/>
      <w:sz w:val="24"/>
      <w:szCs w:val="24"/>
    </w:rPr>
  </w:style>
  <w:style w:type="character" w:customStyle="1" w:styleId="Ttulo3Car">
    <w:name w:val="Título 3 Car"/>
    <w:basedOn w:val="Fuentedeprrafopredeter"/>
    <w:link w:val="Ttulo3"/>
    <w:rsid w:val="002A031F"/>
    <w:rPr>
      <w:rFonts w:ascii="Arial" w:eastAsia="Batang" w:hAnsi="Arial" w:cs="Times New Roman"/>
      <w:sz w:val="24"/>
      <w:szCs w:val="20"/>
      <w:lang w:val="es-ES" w:eastAsia="es-ES"/>
    </w:rPr>
  </w:style>
  <w:style w:type="paragraph" w:customStyle="1" w:styleId="Cuadrculamedia22">
    <w:name w:val="Cuadrícula media 22"/>
    <w:uiPriority w:val="1"/>
    <w:qFormat/>
    <w:rsid w:val="002A031F"/>
    <w:pPr>
      <w:spacing w:after="0" w:line="240" w:lineRule="auto"/>
    </w:pPr>
    <w:rPr>
      <w:rFonts w:ascii="Calibri" w:eastAsia="Calibri" w:hAnsi="Calibri" w:cs="Times New Roman"/>
      <w:lang w:val="es-ES"/>
    </w:rPr>
  </w:style>
  <w:style w:type="paragraph" w:styleId="Textonotaalfinal">
    <w:name w:val="endnote text"/>
    <w:basedOn w:val="Normal"/>
    <w:link w:val="TextonotaalfinalCar"/>
    <w:uiPriority w:val="99"/>
    <w:unhideWhenUsed/>
    <w:rsid w:val="002A031F"/>
    <w:pPr>
      <w:spacing w:after="0" w:line="240" w:lineRule="auto"/>
    </w:pPr>
    <w:rPr>
      <w:rFonts w:ascii="Arial" w:eastAsia="Times New Roman" w:hAnsi="Arial"/>
      <w:sz w:val="20"/>
      <w:szCs w:val="20"/>
      <w:lang w:val="x-none" w:eastAsia="es-ES"/>
    </w:rPr>
  </w:style>
  <w:style w:type="character" w:customStyle="1" w:styleId="TextonotaalfinalCar">
    <w:name w:val="Texto nota al final Car"/>
    <w:basedOn w:val="Fuentedeprrafopredeter"/>
    <w:link w:val="Textonotaalfinal"/>
    <w:uiPriority w:val="99"/>
    <w:rsid w:val="002A031F"/>
    <w:rPr>
      <w:rFonts w:ascii="Arial" w:eastAsia="Times New Roman" w:hAnsi="Arial" w:cs="Times New Roman"/>
      <w:sz w:val="20"/>
      <w:szCs w:val="20"/>
      <w:lang w:val="x-none" w:eastAsia="es-ES"/>
    </w:rPr>
  </w:style>
  <w:style w:type="paragraph" w:styleId="Textoindependiente2">
    <w:name w:val="Body Text 2"/>
    <w:basedOn w:val="Normal"/>
    <w:link w:val="Textoindependiente2Car"/>
    <w:uiPriority w:val="99"/>
    <w:unhideWhenUsed/>
    <w:rsid w:val="002A031F"/>
    <w:pPr>
      <w:spacing w:after="120" w:line="480" w:lineRule="auto"/>
    </w:pPr>
  </w:style>
  <w:style w:type="character" w:customStyle="1" w:styleId="Textoindependiente2Car">
    <w:name w:val="Texto independiente 2 Car"/>
    <w:basedOn w:val="Fuentedeprrafopredeter"/>
    <w:link w:val="Textoindependiente2"/>
    <w:uiPriority w:val="99"/>
    <w:rsid w:val="002A031F"/>
    <w:rPr>
      <w:rFonts w:ascii="Calibri" w:eastAsia="Calibri" w:hAnsi="Calibri" w:cs="Times New Roman"/>
      <w:lang w:val="es-ES"/>
    </w:rPr>
  </w:style>
  <w:style w:type="paragraph" w:styleId="Textosinformato">
    <w:name w:val="Plain Text"/>
    <w:basedOn w:val="Normal"/>
    <w:link w:val="TextosinformatoCar"/>
    <w:uiPriority w:val="99"/>
    <w:unhideWhenUsed/>
    <w:rsid w:val="002A031F"/>
    <w:pPr>
      <w:spacing w:after="0" w:line="240" w:lineRule="auto"/>
    </w:pPr>
    <w:rPr>
      <w:szCs w:val="21"/>
      <w:lang w:val="es-CO"/>
    </w:rPr>
  </w:style>
  <w:style w:type="character" w:customStyle="1" w:styleId="TextosinformatoCar">
    <w:name w:val="Texto sin formato Car"/>
    <w:basedOn w:val="Fuentedeprrafopredeter"/>
    <w:link w:val="Textosinformato"/>
    <w:uiPriority w:val="99"/>
    <w:rsid w:val="002A031F"/>
    <w:rPr>
      <w:rFonts w:ascii="Calibri" w:eastAsia="Calibri" w:hAnsi="Calibri" w:cs="Times New Roman"/>
      <w:szCs w:val="21"/>
    </w:rPr>
  </w:style>
  <w:style w:type="character" w:customStyle="1" w:styleId="Ttulo4Car">
    <w:name w:val="Título 4 Car"/>
    <w:basedOn w:val="Fuentedeprrafopredeter"/>
    <w:link w:val="Ttulo4"/>
    <w:uiPriority w:val="9"/>
    <w:semiHidden/>
    <w:rsid w:val="00351EEE"/>
    <w:rPr>
      <w:rFonts w:asciiTheme="majorHAnsi" w:eastAsiaTheme="majorEastAsia" w:hAnsiTheme="majorHAnsi" w:cstheme="majorBidi"/>
      <w:i/>
      <w:iCs/>
      <w:color w:val="2F5496"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1377">
      <w:bodyDiv w:val="1"/>
      <w:marLeft w:val="0"/>
      <w:marRight w:val="0"/>
      <w:marTop w:val="0"/>
      <w:marBottom w:val="0"/>
      <w:divBdr>
        <w:top w:val="none" w:sz="0" w:space="0" w:color="auto"/>
        <w:left w:val="none" w:sz="0" w:space="0" w:color="auto"/>
        <w:bottom w:val="none" w:sz="0" w:space="0" w:color="auto"/>
        <w:right w:val="none" w:sz="0" w:space="0" w:color="auto"/>
      </w:divBdr>
    </w:div>
    <w:div w:id="191696350">
      <w:bodyDiv w:val="1"/>
      <w:marLeft w:val="0"/>
      <w:marRight w:val="0"/>
      <w:marTop w:val="0"/>
      <w:marBottom w:val="0"/>
      <w:divBdr>
        <w:top w:val="none" w:sz="0" w:space="0" w:color="auto"/>
        <w:left w:val="none" w:sz="0" w:space="0" w:color="auto"/>
        <w:bottom w:val="none" w:sz="0" w:space="0" w:color="auto"/>
        <w:right w:val="none" w:sz="0" w:space="0" w:color="auto"/>
      </w:divBdr>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389573340">
      <w:bodyDiv w:val="1"/>
      <w:marLeft w:val="0"/>
      <w:marRight w:val="0"/>
      <w:marTop w:val="0"/>
      <w:marBottom w:val="0"/>
      <w:divBdr>
        <w:top w:val="none" w:sz="0" w:space="0" w:color="auto"/>
        <w:left w:val="none" w:sz="0" w:space="0" w:color="auto"/>
        <w:bottom w:val="none" w:sz="0" w:space="0" w:color="auto"/>
        <w:right w:val="none" w:sz="0" w:space="0" w:color="auto"/>
      </w:divBdr>
      <w:divsChild>
        <w:div w:id="455872377">
          <w:marLeft w:val="547"/>
          <w:marRight w:val="0"/>
          <w:marTop w:val="0"/>
          <w:marBottom w:val="0"/>
          <w:divBdr>
            <w:top w:val="none" w:sz="0" w:space="0" w:color="auto"/>
            <w:left w:val="none" w:sz="0" w:space="0" w:color="auto"/>
            <w:bottom w:val="none" w:sz="0" w:space="0" w:color="auto"/>
            <w:right w:val="none" w:sz="0" w:space="0" w:color="auto"/>
          </w:divBdr>
        </w:div>
      </w:divsChild>
    </w:div>
    <w:div w:id="519513128">
      <w:bodyDiv w:val="1"/>
      <w:marLeft w:val="0"/>
      <w:marRight w:val="0"/>
      <w:marTop w:val="0"/>
      <w:marBottom w:val="0"/>
      <w:divBdr>
        <w:top w:val="none" w:sz="0" w:space="0" w:color="auto"/>
        <w:left w:val="none" w:sz="0" w:space="0" w:color="auto"/>
        <w:bottom w:val="none" w:sz="0" w:space="0" w:color="auto"/>
        <w:right w:val="none" w:sz="0" w:space="0" w:color="auto"/>
      </w:divBdr>
      <w:divsChild>
        <w:div w:id="364448913">
          <w:marLeft w:val="0"/>
          <w:marRight w:val="0"/>
          <w:marTop w:val="0"/>
          <w:marBottom w:val="0"/>
          <w:divBdr>
            <w:top w:val="none" w:sz="0" w:space="0" w:color="auto"/>
            <w:left w:val="none" w:sz="0" w:space="0" w:color="auto"/>
            <w:bottom w:val="none" w:sz="0" w:space="0" w:color="auto"/>
            <w:right w:val="none" w:sz="0" w:space="0" w:color="auto"/>
          </w:divBdr>
        </w:div>
      </w:divsChild>
    </w:div>
    <w:div w:id="553466824">
      <w:bodyDiv w:val="1"/>
      <w:marLeft w:val="0"/>
      <w:marRight w:val="0"/>
      <w:marTop w:val="0"/>
      <w:marBottom w:val="0"/>
      <w:divBdr>
        <w:top w:val="none" w:sz="0" w:space="0" w:color="auto"/>
        <w:left w:val="none" w:sz="0" w:space="0" w:color="auto"/>
        <w:bottom w:val="none" w:sz="0" w:space="0" w:color="auto"/>
        <w:right w:val="none" w:sz="0" w:space="0" w:color="auto"/>
      </w:divBdr>
      <w:divsChild>
        <w:div w:id="1735397495">
          <w:marLeft w:val="30"/>
          <w:marRight w:val="285"/>
          <w:marTop w:val="120"/>
          <w:marBottom w:val="120"/>
          <w:divBdr>
            <w:top w:val="none" w:sz="0" w:space="0" w:color="auto"/>
            <w:left w:val="none" w:sz="0" w:space="0" w:color="auto"/>
            <w:bottom w:val="none" w:sz="0" w:space="0" w:color="auto"/>
            <w:right w:val="none" w:sz="0" w:space="0" w:color="auto"/>
          </w:divBdr>
          <w:divsChild>
            <w:div w:id="621543994">
              <w:marLeft w:val="0"/>
              <w:marRight w:val="0"/>
              <w:marTop w:val="0"/>
              <w:marBottom w:val="0"/>
              <w:divBdr>
                <w:top w:val="none" w:sz="0" w:space="0" w:color="auto"/>
                <w:left w:val="none" w:sz="0" w:space="0" w:color="auto"/>
                <w:bottom w:val="none" w:sz="0" w:space="0" w:color="auto"/>
                <w:right w:val="none" w:sz="0" w:space="0" w:color="auto"/>
              </w:divBdr>
              <w:divsChild>
                <w:div w:id="15694310">
                  <w:marLeft w:val="0"/>
                  <w:marRight w:val="0"/>
                  <w:marTop w:val="0"/>
                  <w:marBottom w:val="0"/>
                  <w:divBdr>
                    <w:top w:val="none" w:sz="0" w:space="0" w:color="auto"/>
                    <w:left w:val="none" w:sz="0" w:space="0" w:color="auto"/>
                    <w:bottom w:val="none" w:sz="0" w:space="0" w:color="auto"/>
                    <w:right w:val="none" w:sz="0" w:space="0" w:color="auto"/>
                  </w:divBdr>
                  <w:divsChild>
                    <w:div w:id="1900163265">
                      <w:marLeft w:val="0"/>
                      <w:marRight w:val="0"/>
                      <w:marTop w:val="0"/>
                      <w:marBottom w:val="0"/>
                      <w:divBdr>
                        <w:top w:val="none" w:sz="0" w:space="0" w:color="auto"/>
                        <w:left w:val="none" w:sz="0" w:space="0" w:color="auto"/>
                        <w:bottom w:val="none" w:sz="0" w:space="0" w:color="auto"/>
                        <w:right w:val="none" w:sz="0" w:space="0" w:color="auto"/>
                      </w:divBdr>
                      <w:divsChild>
                        <w:div w:id="468019507">
                          <w:marLeft w:val="0"/>
                          <w:marRight w:val="0"/>
                          <w:marTop w:val="0"/>
                          <w:marBottom w:val="0"/>
                          <w:divBdr>
                            <w:top w:val="none" w:sz="0" w:space="0" w:color="auto"/>
                            <w:left w:val="none" w:sz="0" w:space="0" w:color="auto"/>
                            <w:bottom w:val="none" w:sz="0" w:space="0" w:color="auto"/>
                            <w:right w:val="none" w:sz="0" w:space="0" w:color="auto"/>
                          </w:divBdr>
                          <w:divsChild>
                            <w:div w:id="1470593543">
                              <w:marLeft w:val="0"/>
                              <w:marRight w:val="0"/>
                              <w:marTop w:val="0"/>
                              <w:marBottom w:val="0"/>
                              <w:divBdr>
                                <w:top w:val="none" w:sz="0" w:space="0" w:color="auto"/>
                                <w:left w:val="none" w:sz="0" w:space="0" w:color="auto"/>
                                <w:bottom w:val="none" w:sz="0" w:space="0" w:color="auto"/>
                                <w:right w:val="none" w:sz="0" w:space="0" w:color="auto"/>
                              </w:divBdr>
                              <w:divsChild>
                                <w:div w:id="1476146669">
                                  <w:marLeft w:val="0"/>
                                  <w:marRight w:val="0"/>
                                  <w:marTop w:val="0"/>
                                  <w:marBottom w:val="0"/>
                                  <w:divBdr>
                                    <w:top w:val="none" w:sz="0" w:space="0" w:color="auto"/>
                                    <w:left w:val="none" w:sz="0" w:space="0" w:color="auto"/>
                                    <w:bottom w:val="none" w:sz="0" w:space="0" w:color="auto"/>
                                    <w:right w:val="none" w:sz="0" w:space="0" w:color="auto"/>
                                  </w:divBdr>
                                  <w:divsChild>
                                    <w:div w:id="835919993">
                                      <w:marLeft w:val="0"/>
                                      <w:marRight w:val="0"/>
                                      <w:marTop w:val="0"/>
                                      <w:marBottom w:val="0"/>
                                      <w:divBdr>
                                        <w:top w:val="none" w:sz="0" w:space="0" w:color="auto"/>
                                        <w:left w:val="none" w:sz="0" w:space="0" w:color="auto"/>
                                        <w:bottom w:val="none" w:sz="0" w:space="0" w:color="auto"/>
                                        <w:right w:val="none" w:sz="0" w:space="0" w:color="auto"/>
                                      </w:divBdr>
                                      <w:divsChild>
                                        <w:div w:id="2140561910">
                                          <w:marLeft w:val="0"/>
                                          <w:marRight w:val="0"/>
                                          <w:marTop w:val="0"/>
                                          <w:marBottom w:val="0"/>
                                          <w:divBdr>
                                            <w:top w:val="none" w:sz="0" w:space="0" w:color="auto"/>
                                            <w:left w:val="none" w:sz="0" w:space="0" w:color="auto"/>
                                            <w:bottom w:val="none" w:sz="0" w:space="0" w:color="auto"/>
                                            <w:right w:val="none" w:sz="0" w:space="0" w:color="auto"/>
                                          </w:divBdr>
                                          <w:divsChild>
                                            <w:div w:id="20366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281944">
          <w:marLeft w:val="0"/>
          <w:marRight w:val="0"/>
          <w:marTop w:val="0"/>
          <w:marBottom w:val="0"/>
          <w:divBdr>
            <w:top w:val="none" w:sz="0" w:space="0" w:color="auto"/>
            <w:left w:val="none" w:sz="0" w:space="0" w:color="auto"/>
            <w:bottom w:val="none" w:sz="0" w:space="0" w:color="auto"/>
            <w:right w:val="none" w:sz="0" w:space="0" w:color="auto"/>
          </w:divBdr>
          <w:divsChild>
            <w:div w:id="801463158">
              <w:marLeft w:val="0"/>
              <w:marRight w:val="0"/>
              <w:marTop w:val="0"/>
              <w:marBottom w:val="0"/>
              <w:divBdr>
                <w:top w:val="none" w:sz="0" w:space="0" w:color="auto"/>
                <w:left w:val="none" w:sz="0" w:space="0" w:color="auto"/>
                <w:bottom w:val="none" w:sz="0" w:space="0" w:color="auto"/>
                <w:right w:val="none" w:sz="0" w:space="0" w:color="auto"/>
              </w:divBdr>
              <w:divsChild>
                <w:div w:id="1456948006">
                  <w:marLeft w:val="0"/>
                  <w:marRight w:val="0"/>
                  <w:marTop w:val="0"/>
                  <w:marBottom w:val="0"/>
                  <w:divBdr>
                    <w:top w:val="none" w:sz="0" w:space="0" w:color="auto"/>
                    <w:left w:val="none" w:sz="0" w:space="0" w:color="auto"/>
                    <w:bottom w:val="none" w:sz="0" w:space="0" w:color="auto"/>
                    <w:right w:val="none" w:sz="0" w:space="0" w:color="auto"/>
                  </w:divBdr>
                  <w:divsChild>
                    <w:div w:id="222450669">
                      <w:marLeft w:val="0"/>
                      <w:marRight w:val="0"/>
                      <w:marTop w:val="0"/>
                      <w:marBottom w:val="0"/>
                      <w:divBdr>
                        <w:top w:val="none" w:sz="0" w:space="0" w:color="auto"/>
                        <w:left w:val="none" w:sz="0" w:space="0" w:color="auto"/>
                        <w:bottom w:val="none" w:sz="0" w:space="0" w:color="auto"/>
                        <w:right w:val="none" w:sz="0" w:space="0" w:color="auto"/>
                      </w:divBdr>
                      <w:divsChild>
                        <w:div w:id="1417247673">
                          <w:marLeft w:val="0"/>
                          <w:marRight w:val="0"/>
                          <w:marTop w:val="0"/>
                          <w:marBottom w:val="0"/>
                          <w:divBdr>
                            <w:top w:val="none" w:sz="0" w:space="0" w:color="auto"/>
                            <w:left w:val="none" w:sz="0" w:space="0" w:color="auto"/>
                            <w:bottom w:val="none" w:sz="0" w:space="0" w:color="auto"/>
                            <w:right w:val="none" w:sz="0" w:space="0" w:color="auto"/>
                          </w:divBdr>
                          <w:divsChild>
                            <w:div w:id="492792778">
                              <w:marLeft w:val="0"/>
                              <w:marRight w:val="0"/>
                              <w:marTop w:val="0"/>
                              <w:marBottom w:val="0"/>
                              <w:divBdr>
                                <w:top w:val="none" w:sz="0" w:space="0" w:color="auto"/>
                                <w:left w:val="none" w:sz="0" w:space="0" w:color="auto"/>
                                <w:bottom w:val="none" w:sz="0" w:space="0" w:color="auto"/>
                                <w:right w:val="none" w:sz="0" w:space="0" w:color="auto"/>
                              </w:divBdr>
                              <w:divsChild>
                                <w:div w:id="694886910">
                                  <w:marLeft w:val="0"/>
                                  <w:marRight w:val="0"/>
                                  <w:marTop w:val="0"/>
                                  <w:marBottom w:val="0"/>
                                  <w:divBdr>
                                    <w:top w:val="none" w:sz="0" w:space="0" w:color="auto"/>
                                    <w:left w:val="none" w:sz="0" w:space="0" w:color="auto"/>
                                    <w:bottom w:val="none" w:sz="0" w:space="0" w:color="auto"/>
                                    <w:right w:val="none" w:sz="0" w:space="0" w:color="auto"/>
                                  </w:divBdr>
                                  <w:divsChild>
                                    <w:div w:id="1022904446">
                                      <w:marLeft w:val="30"/>
                                      <w:marRight w:val="30"/>
                                      <w:marTop w:val="30"/>
                                      <w:marBottom w:val="120"/>
                                      <w:divBdr>
                                        <w:top w:val="none" w:sz="0" w:space="0" w:color="auto"/>
                                        <w:left w:val="none" w:sz="0" w:space="0" w:color="auto"/>
                                        <w:bottom w:val="none" w:sz="0" w:space="0" w:color="auto"/>
                                        <w:right w:val="none" w:sz="0" w:space="0" w:color="auto"/>
                                      </w:divBdr>
                                      <w:divsChild>
                                        <w:div w:id="73012904">
                                          <w:marLeft w:val="0"/>
                                          <w:marRight w:val="0"/>
                                          <w:marTop w:val="0"/>
                                          <w:marBottom w:val="0"/>
                                          <w:divBdr>
                                            <w:top w:val="none" w:sz="0" w:space="0" w:color="auto"/>
                                            <w:left w:val="none" w:sz="0" w:space="0" w:color="auto"/>
                                            <w:bottom w:val="none" w:sz="0" w:space="0" w:color="auto"/>
                                            <w:right w:val="none" w:sz="0" w:space="0" w:color="auto"/>
                                          </w:divBdr>
                                          <w:divsChild>
                                            <w:div w:id="739912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296946">
      <w:bodyDiv w:val="1"/>
      <w:marLeft w:val="0"/>
      <w:marRight w:val="0"/>
      <w:marTop w:val="0"/>
      <w:marBottom w:val="0"/>
      <w:divBdr>
        <w:top w:val="none" w:sz="0" w:space="0" w:color="auto"/>
        <w:left w:val="none" w:sz="0" w:space="0" w:color="auto"/>
        <w:bottom w:val="none" w:sz="0" w:space="0" w:color="auto"/>
        <w:right w:val="none" w:sz="0" w:space="0" w:color="auto"/>
      </w:divBdr>
    </w:div>
    <w:div w:id="679241859">
      <w:bodyDiv w:val="1"/>
      <w:marLeft w:val="0"/>
      <w:marRight w:val="0"/>
      <w:marTop w:val="0"/>
      <w:marBottom w:val="0"/>
      <w:divBdr>
        <w:top w:val="none" w:sz="0" w:space="0" w:color="auto"/>
        <w:left w:val="none" w:sz="0" w:space="0" w:color="auto"/>
        <w:bottom w:val="none" w:sz="0" w:space="0" w:color="auto"/>
        <w:right w:val="none" w:sz="0" w:space="0" w:color="auto"/>
      </w:divBdr>
    </w:div>
    <w:div w:id="685013033">
      <w:bodyDiv w:val="1"/>
      <w:marLeft w:val="0"/>
      <w:marRight w:val="0"/>
      <w:marTop w:val="0"/>
      <w:marBottom w:val="0"/>
      <w:divBdr>
        <w:top w:val="none" w:sz="0" w:space="0" w:color="auto"/>
        <w:left w:val="none" w:sz="0" w:space="0" w:color="auto"/>
        <w:bottom w:val="none" w:sz="0" w:space="0" w:color="auto"/>
        <w:right w:val="none" w:sz="0" w:space="0" w:color="auto"/>
      </w:divBdr>
    </w:div>
    <w:div w:id="793645229">
      <w:bodyDiv w:val="1"/>
      <w:marLeft w:val="0"/>
      <w:marRight w:val="0"/>
      <w:marTop w:val="0"/>
      <w:marBottom w:val="0"/>
      <w:divBdr>
        <w:top w:val="none" w:sz="0" w:space="0" w:color="auto"/>
        <w:left w:val="none" w:sz="0" w:space="0" w:color="auto"/>
        <w:bottom w:val="none" w:sz="0" w:space="0" w:color="auto"/>
        <w:right w:val="none" w:sz="0" w:space="0" w:color="auto"/>
      </w:divBdr>
    </w:div>
    <w:div w:id="903367614">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299458566">
      <w:bodyDiv w:val="1"/>
      <w:marLeft w:val="0"/>
      <w:marRight w:val="0"/>
      <w:marTop w:val="0"/>
      <w:marBottom w:val="0"/>
      <w:divBdr>
        <w:top w:val="none" w:sz="0" w:space="0" w:color="auto"/>
        <w:left w:val="none" w:sz="0" w:space="0" w:color="auto"/>
        <w:bottom w:val="none" w:sz="0" w:space="0" w:color="auto"/>
        <w:right w:val="none" w:sz="0" w:space="0" w:color="auto"/>
      </w:divBdr>
      <w:divsChild>
        <w:div w:id="615721582">
          <w:marLeft w:val="0"/>
          <w:marRight w:val="0"/>
          <w:marTop w:val="0"/>
          <w:marBottom w:val="0"/>
          <w:divBdr>
            <w:top w:val="none" w:sz="0" w:space="0" w:color="auto"/>
            <w:left w:val="none" w:sz="0" w:space="0" w:color="auto"/>
            <w:bottom w:val="none" w:sz="0" w:space="0" w:color="auto"/>
            <w:right w:val="none" w:sz="0" w:space="0" w:color="auto"/>
          </w:divBdr>
        </w:div>
      </w:divsChild>
    </w:div>
    <w:div w:id="1304773440">
      <w:bodyDiv w:val="1"/>
      <w:marLeft w:val="0"/>
      <w:marRight w:val="0"/>
      <w:marTop w:val="0"/>
      <w:marBottom w:val="0"/>
      <w:divBdr>
        <w:top w:val="none" w:sz="0" w:space="0" w:color="auto"/>
        <w:left w:val="none" w:sz="0" w:space="0" w:color="auto"/>
        <w:bottom w:val="none" w:sz="0" w:space="0" w:color="auto"/>
        <w:right w:val="none" w:sz="0" w:space="0" w:color="auto"/>
      </w:divBdr>
    </w:div>
    <w:div w:id="1362902425">
      <w:bodyDiv w:val="1"/>
      <w:marLeft w:val="0"/>
      <w:marRight w:val="0"/>
      <w:marTop w:val="0"/>
      <w:marBottom w:val="0"/>
      <w:divBdr>
        <w:top w:val="none" w:sz="0" w:space="0" w:color="auto"/>
        <w:left w:val="none" w:sz="0" w:space="0" w:color="auto"/>
        <w:bottom w:val="none" w:sz="0" w:space="0" w:color="auto"/>
        <w:right w:val="none" w:sz="0" w:space="0" w:color="auto"/>
      </w:divBdr>
    </w:div>
    <w:div w:id="2085176913">
      <w:bodyDiv w:val="1"/>
      <w:marLeft w:val="0"/>
      <w:marRight w:val="0"/>
      <w:marTop w:val="0"/>
      <w:marBottom w:val="0"/>
      <w:divBdr>
        <w:top w:val="none" w:sz="0" w:space="0" w:color="auto"/>
        <w:left w:val="none" w:sz="0" w:space="0" w:color="auto"/>
        <w:bottom w:val="none" w:sz="0" w:space="0" w:color="auto"/>
        <w:right w:val="none" w:sz="0" w:space="0" w:color="auto"/>
      </w:divBdr>
      <w:divsChild>
        <w:div w:id="835997902">
          <w:marLeft w:val="0"/>
          <w:marRight w:val="0"/>
          <w:marTop w:val="0"/>
          <w:marBottom w:val="0"/>
          <w:divBdr>
            <w:top w:val="none" w:sz="0" w:space="0" w:color="auto"/>
            <w:left w:val="none" w:sz="0" w:space="0" w:color="auto"/>
            <w:bottom w:val="none" w:sz="0" w:space="0" w:color="auto"/>
            <w:right w:val="none" w:sz="0" w:space="0" w:color="auto"/>
          </w:divBdr>
        </w:div>
      </w:divsChild>
    </w:div>
    <w:div w:id="209447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21FA-0A95-40B6-806A-31358692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16</Pages>
  <Words>8052</Words>
  <Characters>44614</Characters>
  <Application>Microsoft Office Word</Application>
  <DocSecurity>0</DocSecurity>
  <Lines>1037</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Elly Yein Passos Guerrero</dc:creator>
  <cp:lastModifiedBy>CRISTINA VARGAS</cp:lastModifiedBy>
  <cp:revision>12</cp:revision>
  <cp:lastPrinted>2023-07-06T16:52:00Z</cp:lastPrinted>
  <dcterms:created xsi:type="dcterms:W3CDTF">2025-07-30T17:04:00Z</dcterms:created>
  <dcterms:modified xsi:type="dcterms:W3CDTF">2026-03-10T21:14:00Z</dcterms:modified>
</cp:coreProperties>
</file>